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0FA79" w14:textId="77777777" w:rsidR="00541E82" w:rsidRDefault="00541E82" w:rsidP="008A7CB2">
      <w:pPr>
        <w:jc w:val="both"/>
        <w:rPr>
          <w:rFonts w:ascii="Gill Sans MT" w:hAnsi="Gill Sans MT"/>
        </w:rPr>
      </w:pPr>
    </w:p>
    <w:p w14:paraId="4D15F37C" w14:textId="77777777" w:rsidR="008A7CB2" w:rsidRDefault="008A7CB2" w:rsidP="008A7CB2">
      <w:pPr>
        <w:jc w:val="both"/>
        <w:rPr>
          <w:rFonts w:ascii="Gill Sans MT" w:hAnsi="Gill Sans MT"/>
        </w:rPr>
      </w:pPr>
    </w:p>
    <w:p w14:paraId="5E2ABBE1" w14:textId="762924D2" w:rsidR="008A7CB2" w:rsidRPr="00F40AF4" w:rsidRDefault="008A7CB2" w:rsidP="008A7CB2">
      <w:pPr>
        <w:jc w:val="both"/>
        <w:rPr>
          <w:rFonts w:ascii="Arial" w:hAnsi="Arial" w:cs="Arial"/>
          <w:b/>
          <w:szCs w:val="24"/>
        </w:rPr>
      </w:pPr>
      <w:r w:rsidRPr="00F40AF4">
        <w:rPr>
          <w:rFonts w:ascii="Arial" w:hAnsi="Arial" w:cs="Arial"/>
          <w:b/>
          <w:szCs w:val="24"/>
        </w:rPr>
        <w:t xml:space="preserve">OIL AND GAS DOCKET NO. </w:t>
      </w:r>
      <w:r w:rsidR="00FD4DBF">
        <w:rPr>
          <w:rFonts w:ascii="Arial" w:hAnsi="Arial" w:cs="Arial"/>
          <w:b/>
          <w:szCs w:val="24"/>
        </w:rPr>
        <w:t>03-031</w:t>
      </w:r>
      <w:r w:rsidR="00135505">
        <w:rPr>
          <w:rFonts w:ascii="Arial" w:hAnsi="Arial" w:cs="Arial"/>
          <w:b/>
          <w:szCs w:val="24"/>
        </w:rPr>
        <w:t>378</w:t>
      </w:r>
      <w:r w:rsidR="001454F5">
        <w:rPr>
          <w:rFonts w:ascii="Arial" w:hAnsi="Arial" w:cs="Arial"/>
          <w:b/>
          <w:szCs w:val="24"/>
        </w:rPr>
        <w:t>4</w:t>
      </w:r>
    </w:p>
    <w:p w14:paraId="28768CCB" w14:textId="77777777" w:rsidR="008A7CB2" w:rsidRPr="00F40AF4" w:rsidRDefault="008A7CB2" w:rsidP="008A7CB2">
      <w:pPr>
        <w:jc w:val="both"/>
        <w:rPr>
          <w:rFonts w:ascii="Arial" w:hAnsi="Arial" w:cs="Arial"/>
          <w:b/>
          <w:szCs w:val="24"/>
        </w:rPr>
      </w:pPr>
    </w:p>
    <w:p w14:paraId="67040A5B" w14:textId="24167DD9" w:rsidR="008A7CB2" w:rsidRPr="00944031" w:rsidRDefault="00560407" w:rsidP="00944031">
      <w:pPr>
        <w:pBdr>
          <w:top w:val="single" w:sz="12" w:space="1" w:color="auto"/>
          <w:bottom w:val="single" w:sz="12" w:space="1" w:color="auto"/>
        </w:pBdr>
        <w:jc w:val="both"/>
        <w:rPr>
          <w:rFonts w:ascii="Arial" w:hAnsi="Arial" w:cs="Arial"/>
          <w:b/>
          <w:smallCaps/>
          <w:sz w:val="26"/>
          <w:szCs w:val="26"/>
        </w:rPr>
      </w:pPr>
      <w:r w:rsidRPr="00944031">
        <w:rPr>
          <w:rFonts w:ascii="Arial" w:hAnsi="Arial" w:cs="Arial"/>
          <w:b/>
          <w:smallCaps/>
          <w:sz w:val="26"/>
          <w:szCs w:val="26"/>
          <w:lang w:val="en-CA"/>
        </w:rPr>
        <w:t>A</w:t>
      </w:r>
      <w:r w:rsidR="00FD77E5">
        <w:rPr>
          <w:rFonts w:ascii="Arial" w:hAnsi="Arial" w:cs="Arial"/>
          <w:b/>
          <w:smallCaps/>
          <w:sz w:val="26"/>
          <w:szCs w:val="26"/>
          <w:lang w:val="en-CA"/>
        </w:rPr>
        <w:t>PPLICATION</w:t>
      </w:r>
      <w:r w:rsidR="00437F1B">
        <w:rPr>
          <w:rFonts w:ascii="Arial" w:hAnsi="Arial" w:cs="Arial"/>
          <w:b/>
          <w:smallCaps/>
          <w:sz w:val="26"/>
          <w:szCs w:val="26"/>
          <w:lang w:val="en-CA"/>
        </w:rPr>
        <w:t xml:space="preserve"> OF </w:t>
      </w:r>
      <w:r w:rsidR="00135505">
        <w:rPr>
          <w:rFonts w:ascii="Arial" w:hAnsi="Arial" w:cs="Arial"/>
          <w:b/>
          <w:smallCaps/>
          <w:sz w:val="26"/>
          <w:szCs w:val="26"/>
          <w:lang w:val="en-CA"/>
        </w:rPr>
        <w:t>HILCORP</w:t>
      </w:r>
      <w:r w:rsidR="00437F1B">
        <w:rPr>
          <w:rFonts w:ascii="Arial" w:hAnsi="Arial" w:cs="Arial"/>
          <w:b/>
          <w:smallCaps/>
          <w:sz w:val="26"/>
          <w:szCs w:val="26"/>
          <w:lang w:val="en-CA"/>
        </w:rPr>
        <w:t xml:space="preserve"> ENERGY</w:t>
      </w:r>
      <w:r w:rsidR="00135505">
        <w:rPr>
          <w:rFonts w:ascii="Arial" w:hAnsi="Arial" w:cs="Arial"/>
          <w:b/>
          <w:smallCaps/>
          <w:sz w:val="26"/>
          <w:szCs w:val="26"/>
          <w:lang w:val="en-CA"/>
        </w:rPr>
        <w:t xml:space="preserve"> COMPANY</w:t>
      </w:r>
      <w:r w:rsidR="00437F1B">
        <w:rPr>
          <w:rFonts w:ascii="Arial" w:hAnsi="Arial" w:cs="Arial"/>
          <w:b/>
          <w:smallCaps/>
          <w:sz w:val="26"/>
          <w:szCs w:val="26"/>
          <w:lang w:val="en-CA"/>
        </w:rPr>
        <w:t xml:space="preserve"> (</w:t>
      </w:r>
      <w:r w:rsidR="00135505">
        <w:rPr>
          <w:rFonts w:ascii="Arial" w:hAnsi="Arial" w:cs="Arial"/>
          <w:b/>
          <w:smallCaps/>
          <w:sz w:val="26"/>
          <w:szCs w:val="26"/>
          <w:lang w:val="en-CA"/>
        </w:rPr>
        <w:t>386310</w:t>
      </w:r>
      <w:r w:rsidR="00437F1B">
        <w:rPr>
          <w:rFonts w:ascii="Arial" w:hAnsi="Arial" w:cs="Arial"/>
          <w:b/>
          <w:smallCaps/>
          <w:sz w:val="26"/>
          <w:szCs w:val="26"/>
          <w:lang w:val="en-CA"/>
        </w:rPr>
        <w:t>) FOR AN INCREASED MER AND</w:t>
      </w:r>
      <w:r w:rsidR="00135505">
        <w:rPr>
          <w:rFonts w:ascii="Arial" w:hAnsi="Arial" w:cs="Arial"/>
          <w:b/>
          <w:smallCaps/>
          <w:sz w:val="26"/>
          <w:szCs w:val="26"/>
          <w:lang w:val="en-CA"/>
        </w:rPr>
        <w:t xml:space="preserve"> </w:t>
      </w:r>
      <w:r w:rsidR="00A1378D">
        <w:rPr>
          <w:rFonts w:ascii="Arial" w:hAnsi="Arial" w:cs="Arial"/>
          <w:b/>
          <w:smallCaps/>
          <w:sz w:val="26"/>
          <w:szCs w:val="26"/>
          <w:lang w:val="en-CA"/>
        </w:rPr>
        <w:t xml:space="preserve">A NET GAS-OIL RATIO AND THE </w:t>
      </w:r>
      <w:r w:rsidR="00437F1B">
        <w:rPr>
          <w:rFonts w:ascii="Arial" w:hAnsi="Arial" w:cs="Arial"/>
          <w:b/>
          <w:smallCaps/>
          <w:sz w:val="26"/>
          <w:szCs w:val="26"/>
          <w:lang w:val="en-CA"/>
        </w:rPr>
        <w:t>CAN</w:t>
      </w:r>
      <w:r w:rsidR="00B20D21">
        <w:rPr>
          <w:rFonts w:ascii="Arial" w:hAnsi="Arial" w:cs="Arial"/>
          <w:b/>
          <w:smallCaps/>
          <w:sz w:val="26"/>
          <w:szCs w:val="26"/>
          <w:lang w:val="en-CA"/>
        </w:rPr>
        <w:t>C</w:t>
      </w:r>
      <w:r w:rsidR="00437F1B">
        <w:rPr>
          <w:rFonts w:ascii="Arial" w:hAnsi="Arial" w:cs="Arial"/>
          <w:b/>
          <w:smallCaps/>
          <w:sz w:val="26"/>
          <w:szCs w:val="26"/>
          <w:lang w:val="en-CA"/>
        </w:rPr>
        <w:t xml:space="preserve">ELLATION OF OVERPRODUCTION FOR THE </w:t>
      </w:r>
      <w:r w:rsidR="001454F5">
        <w:rPr>
          <w:rFonts w:ascii="Arial" w:hAnsi="Arial" w:cs="Arial"/>
          <w:b/>
          <w:smallCaps/>
          <w:sz w:val="26"/>
          <w:szCs w:val="26"/>
          <w:lang w:val="en-CA"/>
        </w:rPr>
        <w:t xml:space="preserve">MONROE CITY RANCH </w:t>
      </w:r>
      <w:r w:rsidR="00437F1B">
        <w:rPr>
          <w:rFonts w:ascii="Arial" w:hAnsi="Arial" w:cs="Arial"/>
          <w:b/>
          <w:smallCaps/>
          <w:sz w:val="26"/>
          <w:szCs w:val="26"/>
          <w:lang w:val="en-CA"/>
        </w:rPr>
        <w:t>(</w:t>
      </w:r>
      <w:r w:rsidR="001454F5">
        <w:rPr>
          <w:rFonts w:ascii="Arial" w:hAnsi="Arial" w:cs="Arial"/>
          <w:b/>
          <w:smallCaps/>
          <w:sz w:val="26"/>
          <w:szCs w:val="26"/>
          <w:lang w:val="en-CA"/>
        </w:rPr>
        <w:t>26897</w:t>
      </w:r>
      <w:r w:rsidR="00437F1B">
        <w:rPr>
          <w:rFonts w:ascii="Arial" w:hAnsi="Arial" w:cs="Arial"/>
          <w:b/>
          <w:smallCaps/>
          <w:sz w:val="26"/>
          <w:szCs w:val="26"/>
          <w:lang w:val="en-CA"/>
        </w:rPr>
        <w:t>) LEASE, WELL NO. 1</w:t>
      </w:r>
      <w:r w:rsidR="00135505">
        <w:rPr>
          <w:rFonts w:ascii="Arial" w:hAnsi="Arial" w:cs="Arial"/>
          <w:b/>
          <w:smallCaps/>
          <w:sz w:val="26"/>
          <w:szCs w:val="26"/>
          <w:lang w:val="en-CA"/>
        </w:rPr>
        <w:t xml:space="preserve">, </w:t>
      </w:r>
      <w:r w:rsidR="001454F5">
        <w:rPr>
          <w:rFonts w:ascii="Arial" w:hAnsi="Arial" w:cs="Arial"/>
          <w:b/>
          <w:smallCaps/>
          <w:sz w:val="26"/>
          <w:szCs w:val="26"/>
          <w:lang w:val="en-CA"/>
        </w:rPr>
        <w:t>MIDDELTON RANCH FIELD</w:t>
      </w:r>
      <w:r w:rsidR="00437F1B">
        <w:rPr>
          <w:rFonts w:ascii="Arial" w:hAnsi="Arial" w:cs="Arial"/>
          <w:b/>
          <w:smallCaps/>
          <w:sz w:val="26"/>
          <w:szCs w:val="26"/>
          <w:lang w:val="en-CA"/>
        </w:rPr>
        <w:t xml:space="preserve">, </w:t>
      </w:r>
      <w:r w:rsidR="001454F5">
        <w:rPr>
          <w:rFonts w:ascii="Arial" w:hAnsi="Arial" w:cs="Arial"/>
          <w:b/>
          <w:smallCaps/>
          <w:sz w:val="26"/>
          <w:szCs w:val="26"/>
          <w:lang w:val="en-CA"/>
        </w:rPr>
        <w:t>CHAMBERS</w:t>
      </w:r>
      <w:r w:rsidR="00135505">
        <w:rPr>
          <w:rFonts w:ascii="Arial" w:hAnsi="Arial" w:cs="Arial"/>
          <w:b/>
          <w:smallCaps/>
          <w:sz w:val="26"/>
          <w:szCs w:val="26"/>
          <w:lang w:val="en-CA"/>
        </w:rPr>
        <w:t xml:space="preserve"> </w:t>
      </w:r>
      <w:r w:rsidR="00437F1B">
        <w:rPr>
          <w:rFonts w:ascii="Arial" w:hAnsi="Arial" w:cs="Arial"/>
          <w:b/>
          <w:smallCaps/>
          <w:sz w:val="26"/>
          <w:szCs w:val="26"/>
          <w:lang w:val="en-CA"/>
        </w:rPr>
        <w:t>COUNTY, TEXAS</w:t>
      </w:r>
    </w:p>
    <w:p w14:paraId="210E3142" w14:textId="77777777" w:rsidR="008A7CB2" w:rsidRPr="00F40AF4" w:rsidRDefault="008A7CB2" w:rsidP="008A7CB2">
      <w:pPr>
        <w:jc w:val="both"/>
        <w:rPr>
          <w:rFonts w:ascii="Arial" w:hAnsi="Arial" w:cs="Arial"/>
          <w:b/>
          <w:szCs w:val="24"/>
        </w:rPr>
      </w:pPr>
    </w:p>
    <w:p w14:paraId="38846F8B" w14:textId="2EA22905" w:rsidR="007D0F9F" w:rsidRPr="00F40AF4" w:rsidRDefault="007D0F9F" w:rsidP="007D0F9F">
      <w:pPr>
        <w:jc w:val="both"/>
        <w:rPr>
          <w:rFonts w:ascii="Arial" w:hAnsi="Arial" w:cs="Arial"/>
          <w:szCs w:val="24"/>
        </w:rPr>
      </w:pPr>
      <w:r w:rsidRPr="00F40AF4">
        <w:rPr>
          <w:rFonts w:ascii="Arial" w:hAnsi="Arial" w:cs="Arial"/>
          <w:b/>
          <w:szCs w:val="24"/>
        </w:rPr>
        <w:t>HEARD BY:</w:t>
      </w:r>
      <w:r w:rsidRPr="00F40AF4">
        <w:rPr>
          <w:rFonts w:ascii="Arial" w:hAnsi="Arial" w:cs="Arial"/>
          <w:szCs w:val="24"/>
        </w:rPr>
        <w:tab/>
      </w:r>
      <w:r w:rsidRPr="00F40AF4">
        <w:rPr>
          <w:rFonts w:ascii="Arial" w:hAnsi="Arial" w:cs="Arial"/>
          <w:szCs w:val="24"/>
        </w:rPr>
        <w:tab/>
      </w:r>
      <w:r w:rsidR="00437F1B" w:rsidRPr="00437F1B">
        <w:rPr>
          <w:rFonts w:ascii="Arial" w:hAnsi="Arial" w:cs="Arial"/>
          <w:szCs w:val="24"/>
        </w:rPr>
        <w:t>Petar Buva</w:t>
      </w:r>
      <w:r w:rsidRPr="00F40AF4">
        <w:rPr>
          <w:rFonts w:ascii="Arial" w:hAnsi="Arial" w:cs="Arial"/>
          <w:szCs w:val="24"/>
        </w:rPr>
        <w:t xml:space="preserve"> – Technical Examiner</w:t>
      </w:r>
    </w:p>
    <w:p w14:paraId="4BB7F4AC" w14:textId="102A3ECB" w:rsidR="007D0F9F" w:rsidRPr="00F40AF4" w:rsidRDefault="007D0F9F" w:rsidP="007D0F9F">
      <w:pPr>
        <w:jc w:val="both"/>
        <w:rPr>
          <w:rFonts w:ascii="Arial" w:hAnsi="Arial" w:cs="Arial"/>
          <w:szCs w:val="24"/>
        </w:rPr>
      </w:pPr>
      <w:r w:rsidRPr="00F40AF4">
        <w:rPr>
          <w:rFonts w:ascii="Arial" w:hAnsi="Arial" w:cs="Arial"/>
          <w:szCs w:val="24"/>
        </w:rPr>
        <w:tab/>
      </w:r>
      <w:r w:rsidRPr="00F40AF4">
        <w:rPr>
          <w:rFonts w:ascii="Arial" w:hAnsi="Arial" w:cs="Arial"/>
          <w:szCs w:val="24"/>
        </w:rPr>
        <w:tab/>
      </w:r>
      <w:r w:rsidRPr="00F40AF4">
        <w:rPr>
          <w:rFonts w:ascii="Arial" w:hAnsi="Arial" w:cs="Arial"/>
          <w:szCs w:val="24"/>
        </w:rPr>
        <w:tab/>
      </w:r>
      <w:r w:rsidR="00135505">
        <w:rPr>
          <w:rFonts w:ascii="Arial" w:hAnsi="Arial" w:cs="Arial"/>
          <w:szCs w:val="24"/>
        </w:rPr>
        <w:t>Clayton J. Hoover</w:t>
      </w:r>
      <w:r w:rsidRPr="00F40AF4">
        <w:rPr>
          <w:rFonts w:ascii="Arial" w:hAnsi="Arial" w:cs="Arial"/>
          <w:szCs w:val="24"/>
        </w:rPr>
        <w:t xml:space="preserve"> – Administrative Law Judge</w:t>
      </w:r>
    </w:p>
    <w:p w14:paraId="6B3247C5" w14:textId="77777777" w:rsidR="007D0F9F" w:rsidRPr="00F40AF4" w:rsidRDefault="007D0F9F" w:rsidP="007D0F9F">
      <w:pPr>
        <w:jc w:val="both"/>
        <w:rPr>
          <w:rFonts w:ascii="Arial" w:hAnsi="Arial" w:cs="Arial"/>
          <w:szCs w:val="24"/>
        </w:rPr>
      </w:pPr>
    </w:p>
    <w:p w14:paraId="02F82FE1" w14:textId="2E158FF3" w:rsidR="007D0F9F" w:rsidRPr="00F40AF4" w:rsidRDefault="007D0F9F" w:rsidP="007D0F9F">
      <w:pPr>
        <w:jc w:val="both"/>
        <w:rPr>
          <w:rFonts w:ascii="Arial" w:hAnsi="Arial" w:cs="Arial"/>
          <w:szCs w:val="24"/>
        </w:rPr>
      </w:pPr>
      <w:r w:rsidRPr="00F40AF4">
        <w:rPr>
          <w:rFonts w:ascii="Arial" w:hAnsi="Arial" w:cs="Arial"/>
          <w:b/>
          <w:szCs w:val="24"/>
        </w:rPr>
        <w:t>HEARING DATE:</w:t>
      </w:r>
      <w:r w:rsidRPr="00F40AF4">
        <w:rPr>
          <w:rFonts w:ascii="Arial" w:hAnsi="Arial" w:cs="Arial"/>
          <w:szCs w:val="24"/>
        </w:rPr>
        <w:tab/>
      </w:r>
      <w:r w:rsidRPr="00F40AF4">
        <w:rPr>
          <w:rFonts w:ascii="Arial" w:hAnsi="Arial" w:cs="Arial"/>
          <w:szCs w:val="24"/>
        </w:rPr>
        <w:tab/>
      </w:r>
      <w:r w:rsidRPr="00F40AF4">
        <w:rPr>
          <w:rFonts w:ascii="Arial" w:hAnsi="Arial" w:cs="Arial"/>
          <w:szCs w:val="24"/>
        </w:rPr>
        <w:tab/>
      </w:r>
      <w:r w:rsidR="00135505">
        <w:rPr>
          <w:rFonts w:ascii="Arial" w:hAnsi="Arial" w:cs="Arial"/>
          <w:szCs w:val="24"/>
        </w:rPr>
        <w:t>November 30</w:t>
      </w:r>
      <w:r w:rsidR="00BE1F0C">
        <w:rPr>
          <w:rFonts w:ascii="Arial" w:hAnsi="Arial" w:cs="Arial"/>
          <w:szCs w:val="24"/>
        </w:rPr>
        <w:t>, 2018</w:t>
      </w:r>
    </w:p>
    <w:p w14:paraId="06518004" w14:textId="119E6E2D" w:rsidR="007D0F9F" w:rsidRPr="00F40AF4" w:rsidRDefault="007D0F9F" w:rsidP="007D0F9F">
      <w:pPr>
        <w:jc w:val="both"/>
        <w:rPr>
          <w:rFonts w:ascii="Arial" w:hAnsi="Arial" w:cs="Arial"/>
          <w:szCs w:val="24"/>
        </w:rPr>
      </w:pPr>
      <w:r w:rsidRPr="00F40AF4">
        <w:rPr>
          <w:rFonts w:ascii="Arial" w:hAnsi="Arial" w:cs="Arial"/>
          <w:b/>
          <w:szCs w:val="24"/>
        </w:rPr>
        <w:t>CONFERENCE DATE:</w:t>
      </w:r>
      <w:r w:rsidR="00560407" w:rsidRPr="00F40AF4">
        <w:rPr>
          <w:rFonts w:ascii="Arial" w:hAnsi="Arial" w:cs="Arial"/>
          <w:szCs w:val="24"/>
        </w:rPr>
        <w:tab/>
      </w:r>
      <w:r w:rsidR="00560407" w:rsidRPr="00F40AF4">
        <w:rPr>
          <w:rFonts w:ascii="Arial" w:hAnsi="Arial" w:cs="Arial"/>
          <w:szCs w:val="24"/>
        </w:rPr>
        <w:tab/>
      </w:r>
      <w:r w:rsidR="00135505">
        <w:rPr>
          <w:rFonts w:ascii="Arial" w:hAnsi="Arial" w:cs="Arial"/>
          <w:szCs w:val="24"/>
        </w:rPr>
        <w:t>January 23</w:t>
      </w:r>
      <w:r w:rsidR="00560407" w:rsidRPr="00F40AF4">
        <w:rPr>
          <w:rFonts w:ascii="Arial" w:hAnsi="Arial" w:cs="Arial"/>
          <w:szCs w:val="24"/>
        </w:rPr>
        <w:t>, 2018</w:t>
      </w:r>
    </w:p>
    <w:p w14:paraId="7FA8D28C" w14:textId="77777777" w:rsidR="007D0F9F" w:rsidRPr="00F40AF4" w:rsidRDefault="007D0F9F" w:rsidP="007D0F9F">
      <w:pPr>
        <w:jc w:val="both"/>
        <w:rPr>
          <w:rFonts w:ascii="Arial" w:hAnsi="Arial" w:cs="Arial"/>
          <w:szCs w:val="24"/>
        </w:rPr>
      </w:pPr>
      <w:r w:rsidRPr="00F40AF4">
        <w:rPr>
          <w:rFonts w:ascii="Arial" w:hAnsi="Arial" w:cs="Arial"/>
          <w:szCs w:val="24"/>
        </w:rPr>
        <w:tab/>
      </w:r>
    </w:p>
    <w:p w14:paraId="0AA2456E" w14:textId="77777777" w:rsidR="007D0F9F" w:rsidRPr="00F40AF4" w:rsidRDefault="007D0F9F" w:rsidP="007D0F9F">
      <w:pPr>
        <w:jc w:val="both"/>
        <w:rPr>
          <w:rFonts w:ascii="Arial" w:hAnsi="Arial" w:cs="Arial"/>
          <w:szCs w:val="24"/>
        </w:rPr>
      </w:pPr>
      <w:r w:rsidRPr="00F40AF4">
        <w:rPr>
          <w:rFonts w:ascii="Arial" w:hAnsi="Arial" w:cs="Arial"/>
          <w:b/>
          <w:szCs w:val="24"/>
        </w:rPr>
        <w:t>APPEARANCES:</w:t>
      </w:r>
      <w:r w:rsidRPr="00F40AF4">
        <w:rPr>
          <w:rFonts w:ascii="Arial" w:hAnsi="Arial" w:cs="Arial"/>
          <w:szCs w:val="24"/>
        </w:rPr>
        <w:tab/>
      </w:r>
      <w:r w:rsidRPr="00F40AF4">
        <w:rPr>
          <w:rFonts w:ascii="Arial" w:hAnsi="Arial" w:cs="Arial"/>
          <w:szCs w:val="24"/>
        </w:rPr>
        <w:tab/>
      </w:r>
      <w:r w:rsidRPr="00F40AF4">
        <w:rPr>
          <w:rFonts w:ascii="Arial" w:hAnsi="Arial" w:cs="Arial"/>
          <w:szCs w:val="24"/>
        </w:rPr>
        <w:tab/>
      </w:r>
      <w:r w:rsidRPr="00F40AF4">
        <w:rPr>
          <w:rFonts w:ascii="Arial" w:hAnsi="Arial" w:cs="Arial"/>
          <w:szCs w:val="24"/>
        </w:rPr>
        <w:tab/>
      </w:r>
      <w:r w:rsidRPr="00F40AF4">
        <w:rPr>
          <w:rFonts w:ascii="Arial" w:hAnsi="Arial" w:cs="Arial"/>
          <w:b/>
          <w:szCs w:val="24"/>
        </w:rPr>
        <w:t>REPRESENTING:</w:t>
      </w:r>
    </w:p>
    <w:p w14:paraId="0E4E4BFB" w14:textId="77777777" w:rsidR="007D0F9F" w:rsidRPr="00F40AF4" w:rsidRDefault="007D0F9F" w:rsidP="007D0F9F">
      <w:pPr>
        <w:jc w:val="both"/>
        <w:rPr>
          <w:rFonts w:ascii="Arial" w:hAnsi="Arial" w:cs="Arial"/>
          <w:szCs w:val="24"/>
        </w:rPr>
      </w:pPr>
    </w:p>
    <w:p w14:paraId="18443D17" w14:textId="5710E97C" w:rsidR="00830223" w:rsidRPr="00F40AF4" w:rsidRDefault="007D0F9F" w:rsidP="00BE1F0C">
      <w:pPr>
        <w:jc w:val="both"/>
        <w:rPr>
          <w:rFonts w:ascii="Arial" w:hAnsi="Arial" w:cs="Arial"/>
          <w:szCs w:val="24"/>
        </w:rPr>
      </w:pPr>
      <w:r w:rsidRPr="00F40AF4">
        <w:rPr>
          <w:rFonts w:ascii="Arial" w:hAnsi="Arial" w:cs="Arial"/>
          <w:szCs w:val="24"/>
        </w:rPr>
        <w:tab/>
      </w:r>
      <w:r w:rsidR="00BE1F0C">
        <w:rPr>
          <w:rFonts w:ascii="Arial" w:hAnsi="Arial" w:cs="Arial"/>
          <w:szCs w:val="24"/>
        </w:rPr>
        <w:t>Dale Miller</w:t>
      </w:r>
      <w:r w:rsidR="00BE1F0C">
        <w:rPr>
          <w:rFonts w:ascii="Arial" w:hAnsi="Arial" w:cs="Arial"/>
          <w:szCs w:val="24"/>
        </w:rPr>
        <w:tab/>
      </w:r>
      <w:r w:rsidRPr="00F40AF4">
        <w:rPr>
          <w:rFonts w:ascii="Arial" w:hAnsi="Arial" w:cs="Arial"/>
          <w:szCs w:val="24"/>
        </w:rPr>
        <w:tab/>
      </w:r>
      <w:r w:rsidRPr="00F40AF4">
        <w:rPr>
          <w:rFonts w:ascii="Arial" w:hAnsi="Arial" w:cs="Arial"/>
          <w:szCs w:val="24"/>
        </w:rPr>
        <w:tab/>
      </w:r>
      <w:r w:rsidR="00830223" w:rsidRPr="00F40AF4">
        <w:rPr>
          <w:rFonts w:ascii="Arial" w:hAnsi="Arial" w:cs="Arial"/>
          <w:szCs w:val="24"/>
        </w:rPr>
        <w:tab/>
      </w:r>
      <w:proofErr w:type="spellStart"/>
      <w:r w:rsidR="00135505">
        <w:rPr>
          <w:rFonts w:ascii="Arial" w:hAnsi="Arial" w:cs="Arial"/>
          <w:szCs w:val="24"/>
        </w:rPr>
        <w:t>Hilcorp</w:t>
      </w:r>
      <w:proofErr w:type="spellEnd"/>
      <w:r w:rsidR="00135505">
        <w:rPr>
          <w:rFonts w:ascii="Arial" w:hAnsi="Arial" w:cs="Arial"/>
          <w:szCs w:val="24"/>
        </w:rPr>
        <w:t xml:space="preserve"> Energy Company</w:t>
      </w:r>
    </w:p>
    <w:p w14:paraId="0CE868E9" w14:textId="77777777" w:rsidR="00B86D15" w:rsidRPr="00F40AF4" w:rsidRDefault="00B86D15" w:rsidP="007D0F9F">
      <w:pPr>
        <w:jc w:val="both"/>
        <w:rPr>
          <w:rFonts w:ascii="Arial" w:hAnsi="Arial" w:cs="Arial"/>
          <w:szCs w:val="24"/>
        </w:rPr>
      </w:pPr>
    </w:p>
    <w:p w14:paraId="4B0D660C" w14:textId="77777777" w:rsidR="00830223" w:rsidRPr="00F40AF4" w:rsidRDefault="00830223" w:rsidP="007D0F9F">
      <w:pPr>
        <w:jc w:val="both"/>
        <w:rPr>
          <w:rFonts w:ascii="Arial" w:hAnsi="Arial" w:cs="Arial"/>
          <w:szCs w:val="24"/>
        </w:rPr>
      </w:pPr>
    </w:p>
    <w:p w14:paraId="5C10A510" w14:textId="77777777" w:rsidR="007D0F9F" w:rsidRPr="00F40AF4" w:rsidRDefault="007D0F9F" w:rsidP="00B86D15">
      <w:pPr>
        <w:jc w:val="center"/>
        <w:rPr>
          <w:rFonts w:ascii="Arial" w:hAnsi="Arial" w:cs="Arial"/>
          <w:b/>
          <w:szCs w:val="24"/>
          <w:u w:val="single"/>
        </w:rPr>
      </w:pPr>
      <w:r w:rsidRPr="00F40AF4">
        <w:rPr>
          <w:rFonts w:ascii="Arial" w:hAnsi="Arial" w:cs="Arial"/>
          <w:b/>
          <w:szCs w:val="24"/>
          <w:u w:val="single"/>
        </w:rPr>
        <w:t>EXAMINERS’ REPORT AND RECOMMENDATION</w:t>
      </w:r>
    </w:p>
    <w:p w14:paraId="05993454" w14:textId="77777777" w:rsidR="007D0F9F" w:rsidRPr="00F40AF4" w:rsidRDefault="007D0F9F" w:rsidP="00B86D15">
      <w:pPr>
        <w:jc w:val="center"/>
        <w:rPr>
          <w:rFonts w:ascii="Arial" w:hAnsi="Arial" w:cs="Arial"/>
          <w:b/>
          <w:szCs w:val="24"/>
          <w:u w:val="single"/>
        </w:rPr>
      </w:pPr>
    </w:p>
    <w:p w14:paraId="61792200" w14:textId="77777777" w:rsidR="007D0F9F" w:rsidRPr="00F40AF4" w:rsidRDefault="007D0F9F" w:rsidP="00B86D15">
      <w:pPr>
        <w:jc w:val="center"/>
        <w:rPr>
          <w:rFonts w:ascii="Arial" w:hAnsi="Arial" w:cs="Arial"/>
          <w:b/>
          <w:szCs w:val="24"/>
          <w:u w:val="single"/>
        </w:rPr>
      </w:pPr>
      <w:r w:rsidRPr="00F40AF4">
        <w:rPr>
          <w:rFonts w:ascii="Arial" w:hAnsi="Arial" w:cs="Arial"/>
          <w:b/>
          <w:szCs w:val="24"/>
          <w:u w:val="single"/>
        </w:rPr>
        <w:t>STATEMENT OF THE CASE</w:t>
      </w:r>
    </w:p>
    <w:p w14:paraId="7F1A4FA2" w14:textId="77777777" w:rsidR="007D0F9F" w:rsidRPr="00F40AF4" w:rsidRDefault="007D0F9F" w:rsidP="007D0F9F">
      <w:pPr>
        <w:jc w:val="both"/>
        <w:rPr>
          <w:rFonts w:ascii="Arial" w:hAnsi="Arial" w:cs="Arial"/>
          <w:szCs w:val="24"/>
        </w:rPr>
      </w:pPr>
    </w:p>
    <w:p w14:paraId="2F6E00CC" w14:textId="07C7B65B" w:rsidR="007D0F9F" w:rsidRPr="00F40AF4" w:rsidRDefault="007D0F9F" w:rsidP="007850DC">
      <w:pPr>
        <w:jc w:val="both"/>
        <w:rPr>
          <w:rFonts w:ascii="Arial" w:hAnsi="Arial" w:cs="Arial"/>
          <w:szCs w:val="24"/>
        </w:rPr>
      </w:pPr>
      <w:r w:rsidRPr="00F40AF4">
        <w:rPr>
          <w:rFonts w:ascii="Arial" w:hAnsi="Arial" w:cs="Arial"/>
          <w:szCs w:val="24"/>
        </w:rPr>
        <w:tab/>
      </w:r>
      <w:proofErr w:type="spellStart"/>
      <w:r w:rsidR="004E65DC">
        <w:rPr>
          <w:rFonts w:ascii="Arial" w:hAnsi="Arial" w:cs="Arial"/>
          <w:szCs w:val="24"/>
        </w:rPr>
        <w:t>Hilcorp</w:t>
      </w:r>
      <w:proofErr w:type="spellEnd"/>
      <w:r w:rsidR="004E65DC">
        <w:rPr>
          <w:rFonts w:ascii="Arial" w:hAnsi="Arial" w:cs="Arial"/>
          <w:szCs w:val="24"/>
        </w:rPr>
        <w:t xml:space="preserve"> Energy Company (386310)</w:t>
      </w:r>
      <w:r w:rsidR="00305908">
        <w:rPr>
          <w:rFonts w:ascii="Arial" w:hAnsi="Arial" w:cs="Arial"/>
          <w:szCs w:val="24"/>
        </w:rPr>
        <w:t xml:space="preserve"> (“</w:t>
      </w:r>
      <w:proofErr w:type="spellStart"/>
      <w:r w:rsidR="004E65DC">
        <w:rPr>
          <w:rFonts w:ascii="Arial" w:hAnsi="Arial" w:cs="Arial"/>
          <w:szCs w:val="24"/>
        </w:rPr>
        <w:t>Hilcorp</w:t>
      </w:r>
      <w:proofErr w:type="spellEnd"/>
      <w:r w:rsidR="004E65DC">
        <w:rPr>
          <w:rFonts w:ascii="Arial" w:hAnsi="Arial" w:cs="Arial"/>
          <w:szCs w:val="24"/>
        </w:rPr>
        <w:t>”</w:t>
      </w:r>
      <w:r w:rsidR="00305908">
        <w:rPr>
          <w:rFonts w:ascii="Arial" w:hAnsi="Arial" w:cs="Arial"/>
          <w:szCs w:val="24"/>
        </w:rPr>
        <w:t>)</w:t>
      </w:r>
      <w:r w:rsidR="00830223" w:rsidRPr="00F40AF4">
        <w:rPr>
          <w:rFonts w:ascii="Arial" w:hAnsi="Arial" w:cs="Arial"/>
          <w:szCs w:val="24"/>
        </w:rPr>
        <w:t xml:space="preserve"> requests </w:t>
      </w:r>
      <w:r w:rsidR="00D004B2">
        <w:rPr>
          <w:rFonts w:ascii="Arial" w:hAnsi="Arial" w:cs="Arial"/>
          <w:szCs w:val="24"/>
        </w:rPr>
        <w:t xml:space="preserve">cancellation of overproduction for </w:t>
      </w:r>
      <w:r w:rsidR="00830223" w:rsidRPr="00F40AF4">
        <w:rPr>
          <w:rFonts w:ascii="Arial" w:hAnsi="Arial" w:cs="Arial"/>
          <w:szCs w:val="24"/>
        </w:rPr>
        <w:t xml:space="preserve">the </w:t>
      </w:r>
      <w:r w:rsidR="001454F5">
        <w:rPr>
          <w:rFonts w:ascii="Arial" w:hAnsi="Arial" w:cs="Arial"/>
          <w:szCs w:val="24"/>
        </w:rPr>
        <w:t xml:space="preserve">Monroe City Ranch </w:t>
      </w:r>
      <w:r w:rsidR="00305908">
        <w:rPr>
          <w:rFonts w:ascii="Arial" w:hAnsi="Arial" w:cs="Arial"/>
          <w:szCs w:val="24"/>
        </w:rPr>
        <w:t>(</w:t>
      </w:r>
      <w:r w:rsidR="004E65DC">
        <w:rPr>
          <w:rFonts w:ascii="Arial" w:hAnsi="Arial" w:cs="Arial"/>
          <w:szCs w:val="24"/>
        </w:rPr>
        <w:t>2</w:t>
      </w:r>
      <w:r w:rsidR="001454F5">
        <w:rPr>
          <w:rFonts w:ascii="Arial" w:hAnsi="Arial" w:cs="Arial"/>
          <w:szCs w:val="24"/>
        </w:rPr>
        <w:t>6897</w:t>
      </w:r>
      <w:r w:rsidR="00305908">
        <w:rPr>
          <w:rFonts w:ascii="Arial" w:hAnsi="Arial" w:cs="Arial"/>
          <w:szCs w:val="24"/>
        </w:rPr>
        <w:t>) Lease, Well No. 1</w:t>
      </w:r>
      <w:r w:rsidR="00D004B2">
        <w:rPr>
          <w:rFonts w:ascii="Arial" w:hAnsi="Arial" w:cs="Arial"/>
          <w:szCs w:val="24"/>
        </w:rPr>
        <w:t>, in the</w:t>
      </w:r>
      <w:r w:rsidR="00D004B2" w:rsidRPr="00F40AF4">
        <w:rPr>
          <w:rFonts w:ascii="Arial" w:hAnsi="Arial" w:cs="Arial"/>
          <w:szCs w:val="24"/>
        </w:rPr>
        <w:t xml:space="preserve"> </w:t>
      </w:r>
      <w:r w:rsidR="00D004B2">
        <w:rPr>
          <w:rFonts w:ascii="Arial" w:hAnsi="Arial" w:cs="Arial"/>
          <w:szCs w:val="24"/>
        </w:rPr>
        <w:t xml:space="preserve">Middleton Ranch </w:t>
      </w:r>
      <w:r w:rsidR="00D004B2" w:rsidRPr="00F40AF4">
        <w:rPr>
          <w:rFonts w:ascii="Arial" w:hAnsi="Arial" w:cs="Arial"/>
          <w:szCs w:val="24"/>
          <w:lang w:val="en-CA"/>
        </w:rPr>
        <w:t>Field</w:t>
      </w:r>
      <w:r w:rsidR="008A26E6">
        <w:rPr>
          <w:rFonts w:ascii="Arial" w:hAnsi="Arial" w:cs="Arial"/>
          <w:szCs w:val="24"/>
          <w:lang w:val="en-CA"/>
        </w:rPr>
        <w:t>, Chambers County, Texas</w:t>
      </w:r>
      <w:r w:rsidR="00D004B2">
        <w:rPr>
          <w:rFonts w:ascii="Arial" w:hAnsi="Arial" w:cs="Arial"/>
          <w:szCs w:val="24"/>
        </w:rPr>
        <w:t xml:space="preserve">.  </w:t>
      </w:r>
      <w:r w:rsidR="008D4DDA">
        <w:rPr>
          <w:rFonts w:ascii="Arial" w:hAnsi="Arial" w:cs="Arial"/>
          <w:szCs w:val="24"/>
        </w:rPr>
        <w:t>Additionally,</w:t>
      </w:r>
      <w:r w:rsidR="00D004B2">
        <w:rPr>
          <w:rFonts w:ascii="Arial" w:hAnsi="Arial" w:cs="Arial"/>
          <w:szCs w:val="24"/>
        </w:rPr>
        <w:t xml:space="preserve"> </w:t>
      </w:r>
      <w:proofErr w:type="spellStart"/>
      <w:r w:rsidR="00D004B2">
        <w:rPr>
          <w:rFonts w:ascii="Arial" w:hAnsi="Arial" w:cs="Arial"/>
          <w:szCs w:val="24"/>
        </w:rPr>
        <w:t>Hilcorp</w:t>
      </w:r>
      <w:proofErr w:type="spellEnd"/>
      <w:r w:rsidR="00D004B2">
        <w:rPr>
          <w:rFonts w:ascii="Arial" w:hAnsi="Arial" w:cs="Arial"/>
          <w:szCs w:val="24"/>
        </w:rPr>
        <w:t xml:space="preserve"> requested</w:t>
      </w:r>
      <w:r w:rsidR="00F12D2E">
        <w:rPr>
          <w:rFonts w:ascii="Arial" w:hAnsi="Arial" w:cs="Arial"/>
          <w:szCs w:val="24"/>
        </w:rPr>
        <w:t xml:space="preserve"> an</w:t>
      </w:r>
      <w:r w:rsidR="00D004B2">
        <w:rPr>
          <w:rFonts w:ascii="Arial" w:hAnsi="Arial" w:cs="Arial"/>
          <w:szCs w:val="24"/>
        </w:rPr>
        <w:t xml:space="preserve"> </w:t>
      </w:r>
      <w:bookmarkStart w:id="0" w:name="_Hlk531693074"/>
      <w:r w:rsidR="00D004B2" w:rsidRPr="00F40AF4">
        <w:rPr>
          <w:rFonts w:ascii="Arial" w:hAnsi="Arial" w:cs="Arial"/>
          <w:szCs w:val="24"/>
        </w:rPr>
        <w:t xml:space="preserve">increase </w:t>
      </w:r>
      <w:r w:rsidR="00D004B2">
        <w:rPr>
          <w:rFonts w:ascii="Arial" w:hAnsi="Arial" w:cs="Arial"/>
          <w:szCs w:val="24"/>
        </w:rPr>
        <w:t xml:space="preserve">in </w:t>
      </w:r>
      <w:r w:rsidR="00D004B2" w:rsidRPr="00F40AF4">
        <w:rPr>
          <w:rFonts w:ascii="Arial" w:hAnsi="Arial" w:cs="Arial"/>
          <w:szCs w:val="24"/>
        </w:rPr>
        <w:t xml:space="preserve">the oil allowable </w:t>
      </w:r>
      <w:bookmarkStart w:id="1" w:name="_GoBack"/>
      <w:bookmarkEnd w:id="1"/>
      <w:r w:rsidR="00EF51F6">
        <w:rPr>
          <w:rFonts w:ascii="Arial" w:hAnsi="Arial" w:cs="Arial"/>
          <w:szCs w:val="24"/>
        </w:rPr>
        <w:t xml:space="preserve">from </w:t>
      </w:r>
      <w:r w:rsidR="00A71AAA">
        <w:rPr>
          <w:rFonts w:ascii="Arial" w:hAnsi="Arial" w:cs="Arial"/>
          <w:szCs w:val="24"/>
        </w:rPr>
        <w:t>287</w:t>
      </w:r>
      <w:r w:rsidR="00E84882">
        <w:rPr>
          <w:rFonts w:ascii="Arial" w:hAnsi="Arial" w:cs="Arial"/>
          <w:szCs w:val="24"/>
        </w:rPr>
        <w:t xml:space="preserve"> </w:t>
      </w:r>
      <w:r w:rsidR="00E03B37">
        <w:rPr>
          <w:rFonts w:ascii="Arial" w:hAnsi="Arial" w:cs="Arial"/>
          <w:szCs w:val="24"/>
        </w:rPr>
        <w:t>barrels of oil per day (“</w:t>
      </w:r>
      <w:r w:rsidR="00E84882">
        <w:rPr>
          <w:rFonts w:ascii="Arial" w:hAnsi="Arial" w:cs="Arial"/>
          <w:szCs w:val="24"/>
        </w:rPr>
        <w:t>BOPD</w:t>
      </w:r>
      <w:r w:rsidR="00E03B37">
        <w:rPr>
          <w:rFonts w:ascii="Arial" w:hAnsi="Arial" w:cs="Arial"/>
          <w:szCs w:val="24"/>
        </w:rPr>
        <w:t>”)</w:t>
      </w:r>
      <w:r w:rsidR="00E84882">
        <w:rPr>
          <w:rFonts w:ascii="Arial" w:hAnsi="Arial" w:cs="Arial"/>
          <w:szCs w:val="24"/>
        </w:rPr>
        <w:t xml:space="preserve"> </w:t>
      </w:r>
      <w:r w:rsidR="00514D2B">
        <w:rPr>
          <w:rFonts w:ascii="Arial" w:hAnsi="Arial" w:cs="Arial"/>
          <w:szCs w:val="24"/>
        </w:rPr>
        <w:t xml:space="preserve">and 574 thousand cubic feet of gas per day (“MCFPD”) </w:t>
      </w:r>
      <w:r w:rsidR="00E84882">
        <w:rPr>
          <w:rFonts w:ascii="Arial" w:hAnsi="Arial" w:cs="Arial"/>
          <w:szCs w:val="24"/>
        </w:rPr>
        <w:t>to</w:t>
      </w:r>
      <w:r w:rsidR="004E65DC">
        <w:rPr>
          <w:rFonts w:ascii="Arial" w:hAnsi="Arial" w:cs="Arial"/>
          <w:szCs w:val="24"/>
        </w:rPr>
        <w:t xml:space="preserve"> </w:t>
      </w:r>
      <w:r w:rsidR="00514D2B">
        <w:rPr>
          <w:rFonts w:ascii="Arial" w:hAnsi="Arial" w:cs="Arial"/>
          <w:szCs w:val="24"/>
        </w:rPr>
        <w:t>65</w:t>
      </w:r>
      <w:r w:rsidR="00F12D2E">
        <w:rPr>
          <w:rFonts w:ascii="Arial" w:hAnsi="Arial" w:cs="Arial"/>
          <w:szCs w:val="24"/>
        </w:rPr>
        <w:t>0</w:t>
      </w:r>
      <w:r w:rsidR="00E84882">
        <w:rPr>
          <w:rFonts w:ascii="Arial" w:hAnsi="Arial" w:cs="Arial"/>
          <w:szCs w:val="24"/>
        </w:rPr>
        <w:t xml:space="preserve"> BOPD </w:t>
      </w:r>
      <w:r w:rsidR="00514D2B">
        <w:rPr>
          <w:rFonts w:ascii="Arial" w:hAnsi="Arial" w:cs="Arial"/>
          <w:szCs w:val="24"/>
        </w:rPr>
        <w:t>and 1,300 MCFPD</w:t>
      </w:r>
      <w:bookmarkEnd w:id="0"/>
      <w:r w:rsidR="00D004B2">
        <w:rPr>
          <w:rFonts w:ascii="Arial" w:hAnsi="Arial" w:cs="Arial"/>
          <w:szCs w:val="24"/>
        </w:rPr>
        <w:t xml:space="preserve">, but the well </w:t>
      </w:r>
      <w:r w:rsidR="001A2527">
        <w:rPr>
          <w:rFonts w:ascii="Arial" w:hAnsi="Arial" w:cs="Arial"/>
          <w:szCs w:val="24"/>
        </w:rPr>
        <w:t>sanded up</w:t>
      </w:r>
      <w:r w:rsidR="00D004B2">
        <w:rPr>
          <w:rFonts w:ascii="Arial" w:hAnsi="Arial" w:cs="Arial"/>
          <w:szCs w:val="24"/>
        </w:rPr>
        <w:t xml:space="preserve"> and is going to be plugged and abandoned</w:t>
      </w:r>
      <w:r w:rsidR="00830223" w:rsidRPr="00F40AF4">
        <w:rPr>
          <w:rFonts w:ascii="Arial" w:hAnsi="Arial" w:cs="Arial"/>
          <w:szCs w:val="24"/>
        </w:rPr>
        <w:t xml:space="preserve">.  </w:t>
      </w:r>
      <w:r w:rsidR="00830223" w:rsidRPr="00F40AF4">
        <w:rPr>
          <w:rFonts w:ascii="Arial" w:hAnsi="Arial" w:cs="Arial"/>
          <w:szCs w:val="24"/>
          <w:lang w:val="en-CA"/>
        </w:rPr>
        <w:t xml:space="preserve">There </w:t>
      </w:r>
      <w:r w:rsidR="00D8532B">
        <w:rPr>
          <w:rFonts w:ascii="Arial" w:hAnsi="Arial" w:cs="Arial"/>
          <w:szCs w:val="24"/>
          <w:lang w:val="en-CA"/>
        </w:rPr>
        <w:t>are</w:t>
      </w:r>
      <w:r w:rsidR="00830223" w:rsidRPr="00F40AF4">
        <w:rPr>
          <w:rFonts w:ascii="Arial" w:hAnsi="Arial" w:cs="Arial"/>
          <w:szCs w:val="24"/>
          <w:lang w:val="en-CA"/>
        </w:rPr>
        <w:t xml:space="preserve"> </w:t>
      </w:r>
      <w:r w:rsidR="00ED7D3F">
        <w:rPr>
          <w:rFonts w:ascii="Arial" w:hAnsi="Arial" w:cs="Arial"/>
          <w:szCs w:val="24"/>
          <w:lang w:val="en-CA"/>
        </w:rPr>
        <w:t>no</w:t>
      </w:r>
      <w:r w:rsidR="00830223" w:rsidRPr="00F40AF4">
        <w:rPr>
          <w:rFonts w:ascii="Arial" w:hAnsi="Arial" w:cs="Arial"/>
          <w:szCs w:val="24"/>
          <w:lang w:val="en-CA"/>
        </w:rPr>
        <w:t xml:space="preserve"> other operator</w:t>
      </w:r>
      <w:r w:rsidR="00ED7D3F">
        <w:rPr>
          <w:rFonts w:ascii="Arial" w:hAnsi="Arial" w:cs="Arial"/>
          <w:szCs w:val="24"/>
          <w:lang w:val="en-CA"/>
        </w:rPr>
        <w:t>s</w:t>
      </w:r>
      <w:r w:rsidR="00830223" w:rsidRPr="00F40AF4">
        <w:rPr>
          <w:rFonts w:ascii="Arial" w:hAnsi="Arial" w:cs="Arial"/>
          <w:szCs w:val="24"/>
          <w:lang w:val="en-CA"/>
        </w:rPr>
        <w:t xml:space="preserve"> in the field</w:t>
      </w:r>
      <w:r w:rsidR="003964B4">
        <w:rPr>
          <w:rFonts w:ascii="Arial" w:hAnsi="Arial" w:cs="Arial"/>
          <w:szCs w:val="24"/>
          <w:lang w:val="en-CA"/>
        </w:rPr>
        <w:t>.</w:t>
      </w:r>
      <w:r w:rsidR="00830223" w:rsidRPr="00F40AF4">
        <w:rPr>
          <w:rFonts w:ascii="Arial" w:hAnsi="Arial" w:cs="Arial"/>
          <w:szCs w:val="24"/>
          <w:lang w:val="en-CA"/>
        </w:rPr>
        <w:t xml:space="preserve"> </w:t>
      </w:r>
      <w:r w:rsidR="003964B4">
        <w:rPr>
          <w:rFonts w:ascii="Arial" w:hAnsi="Arial" w:cs="Arial"/>
          <w:szCs w:val="24"/>
          <w:lang w:val="en-CA"/>
        </w:rPr>
        <w:t xml:space="preserve"> </w:t>
      </w:r>
      <w:r w:rsidR="007850DC" w:rsidRPr="00F40AF4">
        <w:rPr>
          <w:rFonts w:ascii="Arial" w:hAnsi="Arial" w:cs="Arial"/>
          <w:szCs w:val="24"/>
        </w:rPr>
        <w:t>The application is unprotested and the Administrative Law Judge and Technical Examiner (collectively, “Examiners”), recommend approval of the application</w:t>
      </w:r>
      <w:r w:rsidR="00E65DC6">
        <w:rPr>
          <w:rFonts w:ascii="Arial" w:hAnsi="Arial" w:cs="Arial"/>
          <w:szCs w:val="24"/>
        </w:rPr>
        <w:t>.</w:t>
      </w:r>
      <w:r w:rsidRPr="00F40AF4">
        <w:rPr>
          <w:rFonts w:ascii="Arial" w:hAnsi="Arial" w:cs="Arial"/>
          <w:szCs w:val="24"/>
        </w:rPr>
        <w:t xml:space="preserve"> </w:t>
      </w:r>
    </w:p>
    <w:p w14:paraId="0752AA04" w14:textId="77777777" w:rsidR="00830223" w:rsidRPr="00F40AF4" w:rsidRDefault="00830223" w:rsidP="007D0F9F">
      <w:pPr>
        <w:jc w:val="both"/>
        <w:rPr>
          <w:rFonts w:ascii="Arial" w:hAnsi="Arial" w:cs="Arial"/>
          <w:szCs w:val="24"/>
        </w:rPr>
      </w:pPr>
    </w:p>
    <w:p w14:paraId="07E718EB" w14:textId="77777777" w:rsidR="008A7CB2" w:rsidRPr="00F40AF4" w:rsidRDefault="007D0F9F" w:rsidP="007850DC">
      <w:pPr>
        <w:jc w:val="center"/>
        <w:rPr>
          <w:rFonts w:ascii="Arial" w:hAnsi="Arial" w:cs="Arial"/>
          <w:b/>
          <w:szCs w:val="24"/>
          <w:u w:val="single"/>
        </w:rPr>
      </w:pPr>
      <w:r w:rsidRPr="00F40AF4">
        <w:rPr>
          <w:rFonts w:ascii="Arial" w:hAnsi="Arial" w:cs="Arial"/>
          <w:b/>
          <w:szCs w:val="24"/>
          <w:u w:val="single"/>
        </w:rPr>
        <w:t>DISCUSSION OF THE EVIDENCE</w:t>
      </w:r>
    </w:p>
    <w:p w14:paraId="47B3A46C" w14:textId="77777777" w:rsidR="008A7CB2" w:rsidRPr="00F40AF4" w:rsidRDefault="008A7CB2" w:rsidP="008A7CB2">
      <w:pPr>
        <w:jc w:val="both"/>
        <w:rPr>
          <w:rFonts w:ascii="Arial" w:hAnsi="Arial" w:cs="Arial"/>
          <w:szCs w:val="24"/>
        </w:rPr>
      </w:pPr>
    </w:p>
    <w:p w14:paraId="3170A42C" w14:textId="3991663F" w:rsidR="00104955" w:rsidRDefault="00BC1719" w:rsidP="006A250F">
      <w:pPr>
        <w:ind w:firstLine="720"/>
        <w:jc w:val="both"/>
        <w:rPr>
          <w:rFonts w:ascii="Arial" w:hAnsi="Arial" w:cs="Arial"/>
          <w:szCs w:val="24"/>
        </w:rPr>
      </w:pPr>
      <w:proofErr w:type="spellStart"/>
      <w:r>
        <w:rPr>
          <w:rFonts w:ascii="Arial" w:hAnsi="Arial" w:cs="Arial"/>
          <w:szCs w:val="24"/>
        </w:rPr>
        <w:t>Hilcorp</w:t>
      </w:r>
      <w:proofErr w:type="spellEnd"/>
      <w:r w:rsidR="00F802BD">
        <w:rPr>
          <w:rFonts w:ascii="Arial" w:hAnsi="Arial" w:cs="Arial"/>
          <w:szCs w:val="24"/>
        </w:rPr>
        <w:t xml:space="preserve"> </w:t>
      </w:r>
      <w:r w:rsidR="00104955">
        <w:rPr>
          <w:rFonts w:ascii="Arial" w:hAnsi="Arial" w:cs="Arial"/>
          <w:szCs w:val="24"/>
        </w:rPr>
        <w:t xml:space="preserve">completed </w:t>
      </w:r>
      <w:r w:rsidR="00E65DC6">
        <w:rPr>
          <w:rFonts w:ascii="Arial" w:hAnsi="Arial" w:cs="Arial"/>
          <w:szCs w:val="24"/>
        </w:rPr>
        <w:t>Well No.1,</w:t>
      </w:r>
      <w:r w:rsidR="00104955">
        <w:rPr>
          <w:rFonts w:ascii="Arial" w:hAnsi="Arial" w:cs="Arial"/>
          <w:szCs w:val="24"/>
        </w:rPr>
        <w:t xml:space="preserve"> </w:t>
      </w:r>
      <w:r w:rsidR="00A1378D">
        <w:rPr>
          <w:rFonts w:ascii="Arial" w:hAnsi="Arial" w:cs="Arial"/>
          <w:szCs w:val="24"/>
        </w:rPr>
        <w:t>Monroe City Ranch</w:t>
      </w:r>
      <w:r w:rsidR="00F77630">
        <w:rPr>
          <w:rFonts w:ascii="Arial" w:hAnsi="Arial" w:cs="Arial"/>
          <w:szCs w:val="24"/>
        </w:rPr>
        <w:t xml:space="preserve"> Lease</w:t>
      </w:r>
      <w:r w:rsidR="00E65DC6">
        <w:rPr>
          <w:rFonts w:ascii="Arial" w:hAnsi="Arial" w:cs="Arial"/>
          <w:szCs w:val="24"/>
        </w:rPr>
        <w:t>,</w:t>
      </w:r>
      <w:r w:rsidR="00104955">
        <w:rPr>
          <w:rFonts w:ascii="Arial" w:hAnsi="Arial" w:cs="Arial"/>
          <w:szCs w:val="24"/>
        </w:rPr>
        <w:t xml:space="preserve"> on </w:t>
      </w:r>
      <w:r w:rsidR="00A1378D">
        <w:rPr>
          <w:rFonts w:ascii="Arial" w:hAnsi="Arial" w:cs="Arial"/>
          <w:szCs w:val="24"/>
        </w:rPr>
        <w:t>May 6, 2015</w:t>
      </w:r>
      <w:r w:rsidR="00104955">
        <w:rPr>
          <w:rFonts w:ascii="Arial" w:hAnsi="Arial" w:cs="Arial"/>
          <w:szCs w:val="24"/>
        </w:rPr>
        <w:t xml:space="preserve">.  </w:t>
      </w:r>
      <w:r w:rsidR="00E62332">
        <w:rPr>
          <w:rFonts w:ascii="Arial" w:hAnsi="Arial" w:cs="Arial"/>
          <w:szCs w:val="24"/>
        </w:rPr>
        <w:t>Currently t</w:t>
      </w:r>
      <w:r w:rsidR="00104955">
        <w:rPr>
          <w:rFonts w:ascii="Arial" w:hAnsi="Arial" w:cs="Arial"/>
          <w:szCs w:val="24"/>
        </w:rPr>
        <w:t xml:space="preserve">he </w:t>
      </w:r>
      <w:r w:rsidR="00E65DC6">
        <w:rPr>
          <w:rFonts w:ascii="Arial" w:hAnsi="Arial" w:cs="Arial"/>
          <w:szCs w:val="24"/>
        </w:rPr>
        <w:t>W</w:t>
      </w:r>
      <w:r w:rsidR="00104955">
        <w:rPr>
          <w:rFonts w:ascii="Arial" w:hAnsi="Arial" w:cs="Arial"/>
          <w:szCs w:val="24"/>
        </w:rPr>
        <w:t>ell</w:t>
      </w:r>
      <w:r w:rsidR="00E65DC6">
        <w:rPr>
          <w:rFonts w:ascii="Arial" w:hAnsi="Arial" w:cs="Arial"/>
          <w:szCs w:val="24"/>
        </w:rPr>
        <w:t xml:space="preserve"> No. 1</w:t>
      </w:r>
      <w:r w:rsidR="00104955">
        <w:rPr>
          <w:rFonts w:ascii="Arial" w:hAnsi="Arial" w:cs="Arial"/>
          <w:szCs w:val="24"/>
        </w:rPr>
        <w:t xml:space="preserve"> </w:t>
      </w:r>
      <w:r w:rsidR="001A2527">
        <w:rPr>
          <w:rFonts w:ascii="Arial" w:hAnsi="Arial" w:cs="Arial"/>
          <w:szCs w:val="24"/>
        </w:rPr>
        <w:t xml:space="preserve">has </w:t>
      </w:r>
      <w:r w:rsidR="00A1378D">
        <w:rPr>
          <w:rFonts w:ascii="Arial" w:hAnsi="Arial" w:cs="Arial"/>
          <w:szCs w:val="24"/>
        </w:rPr>
        <w:t xml:space="preserve">lost its productive ability due to sand production issues. </w:t>
      </w:r>
    </w:p>
    <w:p w14:paraId="096BA0EB" w14:textId="77777777" w:rsidR="00E03B37" w:rsidRDefault="00E03B37" w:rsidP="006A250F">
      <w:pPr>
        <w:ind w:firstLine="720"/>
        <w:jc w:val="both"/>
        <w:rPr>
          <w:rFonts w:ascii="Arial" w:hAnsi="Arial" w:cs="Arial"/>
          <w:szCs w:val="24"/>
        </w:rPr>
      </w:pPr>
    </w:p>
    <w:p w14:paraId="28C115C2" w14:textId="13C13772" w:rsidR="00104955" w:rsidRDefault="00E62332" w:rsidP="006A250F">
      <w:pPr>
        <w:ind w:firstLine="720"/>
        <w:jc w:val="both"/>
        <w:rPr>
          <w:rFonts w:ascii="Arial" w:hAnsi="Arial" w:cs="Arial"/>
          <w:szCs w:val="24"/>
        </w:rPr>
      </w:pPr>
      <w:r>
        <w:rPr>
          <w:rFonts w:ascii="Arial" w:hAnsi="Arial" w:cs="Arial"/>
          <w:szCs w:val="24"/>
        </w:rPr>
        <w:lastRenderedPageBreak/>
        <w:t>Presently the top allowable for the well is 287 BOPD and 574 MCFPD. The well has been producing oil in access of current allowable since April of 2018. On October 16, 2018 the well sanded up completely, so the well is temporary abandoned and will be plugged accordingly.</w:t>
      </w:r>
      <w:r w:rsidR="00E42461">
        <w:rPr>
          <w:rFonts w:ascii="Arial" w:hAnsi="Arial" w:cs="Arial"/>
          <w:szCs w:val="24"/>
        </w:rPr>
        <w:t xml:space="preserve"> </w:t>
      </w:r>
      <w:r w:rsidR="00C509DC">
        <w:rPr>
          <w:rFonts w:ascii="Arial" w:hAnsi="Arial" w:cs="Arial"/>
          <w:szCs w:val="24"/>
        </w:rPr>
        <w:t xml:space="preserve"> </w:t>
      </w:r>
      <w:r w:rsidR="00E42461">
        <w:rPr>
          <w:rFonts w:ascii="Arial" w:hAnsi="Arial" w:cs="Arial"/>
          <w:szCs w:val="24"/>
        </w:rPr>
        <w:t xml:space="preserve">The reservoir is highly permeable, and the logs shows the gross producing section is approximately </w:t>
      </w:r>
      <w:r>
        <w:rPr>
          <w:rFonts w:ascii="Arial" w:hAnsi="Arial" w:cs="Arial"/>
          <w:szCs w:val="24"/>
        </w:rPr>
        <w:t>53</w:t>
      </w:r>
      <w:r w:rsidR="00E42461">
        <w:rPr>
          <w:rFonts w:ascii="Arial" w:hAnsi="Arial" w:cs="Arial"/>
          <w:szCs w:val="24"/>
        </w:rPr>
        <w:t xml:space="preserve"> feet thick</w:t>
      </w:r>
      <w:r>
        <w:rPr>
          <w:rFonts w:ascii="Arial" w:hAnsi="Arial" w:cs="Arial"/>
          <w:szCs w:val="24"/>
        </w:rPr>
        <w:t xml:space="preserve">, so a new well is planned to be drilled into this reservoir to secure the remaining recoverable reserves. </w:t>
      </w:r>
    </w:p>
    <w:p w14:paraId="3C5A4EF1" w14:textId="6F933D5A" w:rsidR="00E42461" w:rsidRDefault="00E42461" w:rsidP="006A250F">
      <w:pPr>
        <w:ind w:firstLine="720"/>
        <w:jc w:val="both"/>
        <w:rPr>
          <w:rFonts w:ascii="Arial" w:hAnsi="Arial" w:cs="Arial"/>
          <w:szCs w:val="24"/>
        </w:rPr>
      </w:pPr>
    </w:p>
    <w:p w14:paraId="41C3BCDB" w14:textId="26EC16F6" w:rsidR="005E6E59" w:rsidRDefault="00D004B2" w:rsidP="006A250F">
      <w:pPr>
        <w:ind w:firstLine="720"/>
        <w:jc w:val="both"/>
        <w:rPr>
          <w:rFonts w:ascii="Arial" w:hAnsi="Arial" w:cs="Arial"/>
          <w:szCs w:val="24"/>
        </w:rPr>
      </w:pPr>
      <w:proofErr w:type="spellStart"/>
      <w:r>
        <w:rPr>
          <w:rFonts w:ascii="Arial" w:hAnsi="Arial" w:cs="Arial"/>
          <w:szCs w:val="24"/>
        </w:rPr>
        <w:t>Hilcorp</w:t>
      </w:r>
      <w:proofErr w:type="spellEnd"/>
      <w:r>
        <w:rPr>
          <w:rFonts w:ascii="Arial" w:hAnsi="Arial" w:cs="Arial"/>
          <w:szCs w:val="24"/>
        </w:rPr>
        <w:t xml:space="preserve"> is requesting cancellation of the overproduction on the Well No. 1. </w:t>
      </w:r>
      <w:r w:rsidR="001A2527">
        <w:rPr>
          <w:rFonts w:ascii="Arial" w:hAnsi="Arial" w:cs="Arial"/>
          <w:szCs w:val="24"/>
        </w:rPr>
        <w:t xml:space="preserve"> </w:t>
      </w:r>
      <w:proofErr w:type="spellStart"/>
      <w:r w:rsidR="001A2527">
        <w:rPr>
          <w:rFonts w:ascii="Arial" w:hAnsi="Arial" w:cs="Arial"/>
          <w:szCs w:val="24"/>
        </w:rPr>
        <w:t>Hillcorp’s</w:t>
      </w:r>
      <w:proofErr w:type="spellEnd"/>
      <w:r w:rsidR="001A2527">
        <w:rPr>
          <w:rFonts w:ascii="Arial" w:hAnsi="Arial" w:cs="Arial"/>
          <w:szCs w:val="24"/>
        </w:rPr>
        <w:t xml:space="preserve"> </w:t>
      </w:r>
      <w:r w:rsidR="00C568EC">
        <w:rPr>
          <w:rFonts w:ascii="Arial" w:hAnsi="Arial" w:cs="Arial"/>
          <w:szCs w:val="24"/>
        </w:rPr>
        <w:t xml:space="preserve">initial </w:t>
      </w:r>
      <w:r w:rsidR="001A2527">
        <w:rPr>
          <w:rFonts w:ascii="Arial" w:hAnsi="Arial" w:cs="Arial"/>
          <w:szCs w:val="24"/>
        </w:rPr>
        <w:t xml:space="preserve">request for an </w:t>
      </w:r>
      <w:r w:rsidR="001A2527" w:rsidRPr="001A2527">
        <w:rPr>
          <w:rFonts w:ascii="Arial" w:hAnsi="Arial" w:cs="Arial"/>
          <w:szCs w:val="24"/>
        </w:rPr>
        <w:t xml:space="preserve">increase in the oil allowable </w:t>
      </w:r>
      <w:r w:rsidR="001A2527">
        <w:rPr>
          <w:rFonts w:ascii="Arial" w:hAnsi="Arial" w:cs="Arial"/>
          <w:szCs w:val="24"/>
        </w:rPr>
        <w:t xml:space="preserve">is no longer </w:t>
      </w:r>
      <w:r w:rsidR="00C568EC">
        <w:rPr>
          <w:rFonts w:ascii="Arial" w:hAnsi="Arial" w:cs="Arial"/>
          <w:szCs w:val="24"/>
        </w:rPr>
        <w:t>applicable</w:t>
      </w:r>
      <w:r w:rsidR="001A2527">
        <w:rPr>
          <w:rFonts w:ascii="Arial" w:hAnsi="Arial" w:cs="Arial"/>
          <w:szCs w:val="24"/>
        </w:rPr>
        <w:t xml:space="preserve"> since the well w</w:t>
      </w:r>
      <w:r w:rsidR="00C568EC">
        <w:rPr>
          <w:rFonts w:ascii="Arial" w:hAnsi="Arial" w:cs="Arial"/>
          <w:szCs w:val="24"/>
        </w:rPr>
        <w:t>i</w:t>
      </w:r>
      <w:r w:rsidR="001A2527">
        <w:rPr>
          <w:rFonts w:ascii="Arial" w:hAnsi="Arial" w:cs="Arial"/>
          <w:szCs w:val="24"/>
        </w:rPr>
        <w:t xml:space="preserve">ll be plugged and abandoned.  The well had a history of producing large amounts of sand.  The operator fought sand production issues, however produced sand is too fine for the proppant </w:t>
      </w:r>
      <w:r w:rsidR="00C568EC">
        <w:rPr>
          <w:rFonts w:ascii="Arial" w:hAnsi="Arial" w:cs="Arial"/>
          <w:szCs w:val="24"/>
        </w:rPr>
        <w:t xml:space="preserve">and sand separator and travels through the wellbore and the production equipment.  The operator is planning to drill a new well into this reservoir to secure the remaining </w:t>
      </w:r>
      <w:r w:rsidR="008D4DDA">
        <w:rPr>
          <w:rFonts w:ascii="Arial" w:hAnsi="Arial" w:cs="Arial"/>
          <w:szCs w:val="24"/>
        </w:rPr>
        <w:t>recoverable reserves.</w:t>
      </w:r>
      <w:r w:rsidR="00C568EC">
        <w:rPr>
          <w:rFonts w:ascii="Arial" w:hAnsi="Arial" w:cs="Arial"/>
          <w:szCs w:val="24"/>
        </w:rPr>
        <w:t xml:space="preserve"> </w:t>
      </w:r>
    </w:p>
    <w:p w14:paraId="3671146F" w14:textId="14B01289" w:rsidR="005E6E59" w:rsidRDefault="005E6E59" w:rsidP="006A250F">
      <w:pPr>
        <w:ind w:firstLine="720"/>
        <w:jc w:val="both"/>
        <w:rPr>
          <w:rFonts w:ascii="Arial" w:hAnsi="Arial" w:cs="Arial"/>
          <w:szCs w:val="24"/>
        </w:rPr>
      </w:pPr>
      <w:r>
        <w:rPr>
          <w:rFonts w:ascii="Arial" w:hAnsi="Arial" w:cs="Arial"/>
          <w:szCs w:val="24"/>
        </w:rPr>
        <w:t xml:space="preserve"> </w:t>
      </w:r>
    </w:p>
    <w:p w14:paraId="632290EF" w14:textId="3FAE392D" w:rsidR="00830223" w:rsidRPr="00F40AF4" w:rsidRDefault="00576C74" w:rsidP="00830223">
      <w:pPr>
        <w:ind w:firstLine="720"/>
        <w:jc w:val="both"/>
        <w:rPr>
          <w:rFonts w:ascii="Arial" w:hAnsi="Arial" w:cs="Arial"/>
          <w:szCs w:val="24"/>
        </w:rPr>
      </w:pPr>
      <w:proofErr w:type="spellStart"/>
      <w:r>
        <w:rPr>
          <w:rFonts w:ascii="Arial" w:hAnsi="Arial" w:cs="Arial"/>
          <w:szCs w:val="24"/>
          <w:lang w:val="en-CA"/>
        </w:rPr>
        <w:t>Hilcorp</w:t>
      </w:r>
      <w:proofErr w:type="spellEnd"/>
      <w:r w:rsidR="00830223" w:rsidRPr="00F40AF4">
        <w:rPr>
          <w:rFonts w:ascii="Arial" w:hAnsi="Arial" w:cs="Arial"/>
          <w:szCs w:val="24"/>
          <w:lang w:val="en-CA"/>
        </w:rPr>
        <w:t xml:space="preserve"> </w:t>
      </w:r>
      <w:r w:rsidR="00830223" w:rsidRPr="00F40AF4">
        <w:rPr>
          <w:rFonts w:ascii="Arial" w:hAnsi="Arial" w:cs="Arial"/>
          <w:szCs w:val="24"/>
        </w:rPr>
        <w:t>agreed, that, pursuant to the provisions of Texas Government Code §2001.144(a)(4)(A), this Final Order shall be effective on the date a Master Order relating to this Final Order is signed.</w:t>
      </w:r>
    </w:p>
    <w:p w14:paraId="401F02AE" w14:textId="77777777" w:rsidR="002667D1" w:rsidRPr="00F40AF4" w:rsidRDefault="002667D1" w:rsidP="00936EB9">
      <w:pPr>
        <w:ind w:firstLine="720"/>
        <w:jc w:val="both"/>
        <w:rPr>
          <w:rFonts w:ascii="Arial" w:hAnsi="Arial" w:cs="Arial"/>
          <w:szCs w:val="24"/>
        </w:rPr>
      </w:pPr>
    </w:p>
    <w:p w14:paraId="00B6AF99" w14:textId="77777777" w:rsidR="002667D1" w:rsidRPr="00F40AF4" w:rsidRDefault="002667D1" w:rsidP="002667D1">
      <w:pPr>
        <w:ind w:firstLine="720"/>
        <w:jc w:val="center"/>
        <w:rPr>
          <w:rFonts w:ascii="Arial" w:hAnsi="Arial" w:cs="Arial"/>
          <w:b/>
          <w:szCs w:val="24"/>
          <w:u w:val="single"/>
        </w:rPr>
      </w:pPr>
      <w:r w:rsidRPr="00F40AF4">
        <w:rPr>
          <w:rFonts w:ascii="Arial" w:hAnsi="Arial" w:cs="Arial"/>
          <w:b/>
          <w:szCs w:val="24"/>
          <w:u w:val="single"/>
        </w:rPr>
        <w:t>FINDINGS OF FACT</w:t>
      </w:r>
    </w:p>
    <w:p w14:paraId="7B7B20A6" w14:textId="77777777" w:rsidR="002667D1" w:rsidRPr="00F40AF4" w:rsidRDefault="002667D1" w:rsidP="002667D1">
      <w:pPr>
        <w:ind w:firstLine="720"/>
        <w:jc w:val="both"/>
        <w:rPr>
          <w:rFonts w:ascii="Arial" w:hAnsi="Arial" w:cs="Arial"/>
          <w:szCs w:val="24"/>
        </w:rPr>
      </w:pPr>
    </w:p>
    <w:p w14:paraId="3DA0769E" w14:textId="245A1494" w:rsidR="002667D1" w:rsidRPr="00F40AF4" w:rsidRDefault="00576C74" w:rsidP="001F5AD1">
      <w:pPr>
        <w:pStyle w:val="ListParagraph"/>
        <w:numPr>
          <w:ilvl w:val="0"/>
          <w:numId w:val="1"/>
        </w:numPr>
        <w:ind w:left="1440" w:hanging="720"/>
        <w:jc w:val="both"/>
        <w:rPr>
          <w:rFonts w:ascii="Arial" w:hAnsi="Arial" w:cs="Arial"/>
          <w:szCs w:val="24"/>
        </w:rPr>
      </w:pPr>
      <w:proofErr w:type="spellStart"/>
      <w:r>
        <w:rPr>
          <w:rFonts w:ascii="Arial" w:hAnsi="Arial" w:cs="Arial"/>
          <w:szCs w:val="24"/>
        </w:rPr>
        <w:t>Hilcorp</w:t>
      </w:r>
      <w:proofErr w:type="spellEnd"/>
      <w:r w:rsidR="002C353B">
        <w:rPr>
          <w:rFonts w:ascii="Arial" w:hAnsi="Arial" w:cs="Arial"/>
          <w:szCs w:val="24"/>
        </w:rPr>
        <w:t xml:space="preserve"> is the </w:t>
      </w:r>
      <w:r w:rsidR="00286F26">
        <w:rPr>
          <w:rFonts w:ascii="Arial" w:hAnsi="Arial" w:cs="Arial"/>
          <w:szCs w:val="24"/>
        </w:rPr>
        <w:t>o</w:t>
      </w:r>
      <w:r w:rsidR="002C353B">
        <w:rPr>
          <w:rFonts w:ascii="Arial" w:hAnsi="Arial" w:cs="Arial"/>
          <w:szCs w:val="24"/>
        </w:rPr>
        <w:t>nly operator</w:t>
      </w:r>
      <w:r w:rsidR="00286F26">
        <w:rPr>
          <w:rFonts w:ascii="Arial" w:hAnsi="Arial" w:cs="Arial"/>
          <w:szCs w:val="24"/>
        </w:rPr>
        <w:t xml:space="preserve"> </w:t>
      </w:r>
      <w:r w:rsidR="00703D80">
        <w:rPr>
          <w:rFonts w:ascii="Arial" w:hAnsi="Arial" w:cs="Arial"/>
          <w:szCs w:val="24"/>
        </w:rPr>
        <w:t xml:space="preserve">in the field and </w:t>
      </w:r>
      <w:r w:rsidR="002667D1" w:rsidRPr="00F40AF4">
        <w:rPr>
          <w:rFonts w:ascii="Arial" w:hAnsi="Arial" w:cs="Arial"/>
          <w:szCs w:val="24"/>
        </w:rPr>
        <w:t>no protests were received.</w:t>
      </w:r>
    </w:p>
    <w:p w14:paraId="4FF36995" w14:textId="77777777" w:rsidR="002667D1" w:rsidRPr="00F40AF4" w:rsidRDefault="002667D1" w:rsidP="001F5AD1">
      <w:pPr>
        <w:ind w:left="1440" w:hanging="720"/>
        <w:jc w:val="both"/>
        <w:rPr>
          <w:rFonts w:ascii="Arial" w:hAnsi="Arial" w:cs="Arial"/>
          <w:szCs w:val="24"/>
        </w:rPr>
      </w:pPr>
    </w:p>
    <w:p w14:paraId="1387CFD4" w14:textId="62D6CC7D" w:rsidR="002E4E91" w:rsidRDefault="008D4DDA" w:rsidP="001F5AD1">
      <w:pPr>
        <w:pStyle w:val="ListParagraph"/>
        <w:numPr>
          <w:ilvl w:val="0"/>
          <w:numId w:val="1"/>
        </w:numPr>
        <w:ind w:left="1440" w:hanging="720"/>
        <w:jc w:val="both"/>
        <w:rPr>
          <w:rFonts w:ascii="Arial" w:hAnsi="Arial" w:cs="Arial"/>
          <w:szCs w:val="24"/>
        </w:rPr>
      </w:pPr>
      <w:r>
        <w:rPr>
          <w:rFonts w:ascii="Arial" w:hAnsi="Arial" w:cs="Arial"/>
          <w:szCs w:val="24"/>
        </w:rPr>
        <w:t>Monroe City Ranch Lease</w:t>
      </w:r>
      <w:r w:rsidR="00E03B37">
        <w:rPr>
          <w:rFonts w:ascii="Arial" w:hAnsi="Arial" w:cs="Arial"/>
          <w:szCs w:val="24"/>
        </w:rPr>
        <w:t xml:space="preserve">, Well No. 1 was completed on </w:t>
      </w:r>
      <w:r>
        <w:rPr>
          <w:rFonts w:ascii="Arial" w:hAnsi="Arial" w:cs="Arial"/>
          <w:szCs w:val="24"/>
        </w:rPr>
        <w:t>May 6, 2015</w:t>
      </w:r>
      <w:r w:rsidR="00E03B37">
        <w:rPr>
          <w:rFonts w:ascii="Arial" w:hAnsi="Arial" w:cs="Arial"/>
          <w:szCs w:val="24"/>
        </w:rPr>
        <w:t>.</w:t>
      </w:r>
    </w:p>
    <w:p w14:paraId="382F4872" w14:textId="77777777" w:rsidR="00E03B37" w:rsidRPr="00E03B37" w:rsidRDefault="00E03B37" w:rsidP="00E03B37">
      <w:pPr>
        <w:pStyle w:val="ListParagraph"/>
        <w:rPr>
          <w:rFonts w:ascii="Arial" w:hAnsi="Arial" w:cs="Arial"/>
          <w:szCs w:val="24"/>
        </w:rPr>
      </w:pPr>
    </w:p>
    <w:p w14:paraId="769B5E18" w14:textId="77777777" w:rsidR="008D4DDA" w:rsidRPr="008D4DDA" w:rsidRDefault="008D4DDA" w:rsidP="008D4DDA">
      <w:pPr>
        <w:pStyle w:val="ListParagraph"/>
        <w:numPr>
          <w:ilvl w:val="0"/>
          <w:numId w:val="1"/>
        </w:numPr>
        <w:ind w:left="1440" w:hanging="720"/>
        <w:jc w:val="both"/>
        <w:rPr>
          <w:rFonts w:ascii="Arial" w:hAnsi="Arial" w:cs="Arial"/>
          <w:szCs w:val="24"/>
          <w:lang w:val="en-CA"/>
        </w:rPr>
      </w:pPr>
      <w:r>
        <w:rPr>
          <w:rFonts w:ascii="Arial" w:hAnsi="Arial" w:cs="Arial"/>
          <w:szCs w:val="24"/>
        </w:rPr>
        <w:t>Current allowable for Well No. 1 is 287</w:t>
      </w:r>
      <w:r w:rsidR="00E03B37">
        <w:rPr>
          <w:rFonts w:ascii="Arial" w:hAnsi="Arial" w:cs="Arial"/>
          <w:szCs w:val="24"/>
        </w:rPr>
        <w:t xml:space="preserve"> BOPD,</w:t>
      </w:r>
      <w:r>
        <w:rPr>
          <w:rFonts w:ascii="Arial" w:hAnsi="Arial" w:cs="Arial"/>
          <w:szCs w:val="24"/>
        </w:rPr>
        <w:t xml:space="preserve"> and</w:t>
      </w:r>
      <w:r w:rsidR="00E03B37">
        <w:rPr>
          <w:rFonts w:ascii="Arial" w:hAnsi="Arial" w:cs="Arial"/>
          <w:szCs w:val="24"/>
        </w:rPr>
        <w:t xml:space="preserve"> </w:t>
      </w:r>
      <w:r>
        <w:rPr>
          <w:rFonts w:ascii="Arial" w:hAnsi="Arial" w:cs="Arial"/>
          <w:szCs w:val="24"/>
        </w:rPr>
        <w:t>574</w:t>
      </w:r>
      <w:r w:rsidR="00E03B37">
        <w:rPr>
          <w:rFonts w:ascii="Arial" w:hAnsi="Arial" w:cs="Arial"/>
          <w:szCs w:val="24"/>
        </w:rPr>
        <w:t xml:space="preserve"> MCFPD</w:t>
      </w:r>
      <w:r>
        <w:rPr>
          <w:rFonts w:ascii="Arial" w:hAnsi="Arial" w:cs="Arial"/>
          <w:szCs w:val="24"/>
        </w:rPr>
        <w:t>.</w:t>
      </w:r>
    </w:p>
    <w:p w14:paraId="5C3CA652" w14:textId="61FE5F50" w:rsidR="002E4E91" w:rsidRPr="008D4DDA" w:rsidRDefault="008D4DDA" w:rsidP="008D4DDA">
      <w:pPr>
        <w:jc w:val="both"/>
        <w:rPr>
          <w:rFonts w:ascii="Arial" w:hAnsi="Arial" w:cs="Arial"/>
          <w:szCs w:val="24"/>
          <w:lang w:val="en-CA"/>
        </w:rPr>
      </w:pPr>
      <w:r w:rsidRPr="008D4DDA">
        <w:rPr>
          <w:rFonts w:ascii="Arial" w:hAnsi="Arial" w:cs="Arial"/>
          <w:szCs w:val="24"/>
          <w:lang w:val="en-CA"/>
        </w:rPr>
        <w:t xml:space="preserve"> </w:t>
      </w:r>
    </w:p>
    <w:p w14:paraId="0324106E" w14:textId="23038716" w:rsidR="00953F93" w:rsidRPr="00E03B37" w:rsidRDefault="008D4DDA" w:rsidP="00E03B37">
      <w:pPr>
        <w:pStyle w:val="ListParagraph"/>
        <w:numPr>
          <w:ilvl w:val="0"/>
          <w:numId w:val="1"/>
        </w:numPr>
        <w:ind w:left="1440" w:hanging="720"/>
        <w:jc w:val="both"/>
        <w:rPr>
          <w:rFonts w:ascii="Arial" w:hAnsi="Arial" w:cs="Arial"/>
          <w:szCs w:val="24"/>
        </w:rPr>
      </w:pPr>
      <w:proofErr w:type="spellStart"/>
      <w:r>
        <w:rPr>
          <w:rFonts w:ascii="Arial" w:hAnsi="Arial" w:cs="Arial"/>
          <w:szCs w:val="24"/>
          <w:lang w:val="en-CA"/>
        </w:rPr>
        <w:t>Hillcorp</w:t>
      </w:r>
      <w:proofErr w:type="spellEnd"/>
      <w:r>
        <w:rPr>
          <w:rFonts w:ascii="Arial" w:hAnsi="Arial" w:cs="Arial"/>
          <w:szCs w:val="24"/>
          <w:lang w:val="en-CA"/>
        </w:rPr>
        <w:t xml:space="preserve"> requests cancellation of overproduction and </w:t>
      </w:r>
      <w:r w:rsidRPr="008D4DDA">
        <w:rPr>
          <w:rFonts w:ascii="Arial" w:hAnsi="Arial" w:cs="Arial"/>
          <w:szCs w:val="24"/>
        </w:rPr>
        <w:t>increase in the oil allowable for from 287 barrels of oil per day (“BOPD”) and 574 thousand cubic feet of gas per day (“MCFPD”) to 6540 BOPD and 1,300 MCFPD</w:t>
      </w:r>
      <w:r>
        <w:rPr>
          <w:rFonts w:ascii="Arial" w:hAnsi="Arial" w:cs="Arial"/>
          <w:szCs w:val="24"/>
        </w:rPr>
        <w:t>.</w:t>
      </w:r>
      <w:r w:rsidR="00953F93" w:rsidRPr="00F40AF4">
        <w:rPr>
          <w:rFonts w:ascii="Arial" w:hAnsi="Arial" w:cs="Arial"/>
          <w:szCs w:val="24"/>
          <w:lang w:val="en-CA"/>
        </w:rPr>
        <w:t xml:space="preserve">  </w:t>
      </w:r>
    </w:p>
    <w:p w14:paraId="71E80355" w14:textId="77777777" w:rsidR="00EB29FD" w:rsidRPr="00783E96" w:rsidRDefault="00EB29FD" w:rsidP="00783E96">
      <w:pPr>
        <w:jc w:val="both"/>
        <w:rPr>
          <w:rFonts w:ascii="Arial" w:hAnsi="Arial" w:cs="Arial"/>
          <w:szCs w:val="24"/>
        </w:rPr>
      </w:pPr>
    </w:p>
    <w:p w14:paraId="5679834B" w14:textId="5E9F7D5E" w:rsidR="008D4DDA" w:rsidRPr="008D4DDA" w:rsidRDefault="008D4DDA" w:rsidP="001F5AD1">
      <w:pPr>
        <w:pStyle w:val="ListParagraph"/>
        <w:numPr>
          <w:ilvl w:val="0"/>
          <w:numId w:val="1"/>
        </w:numPr>
        <w:ind w:left="1440" w:hanging="720"/>
        <w:jc w:val="both"/>
        <w:rPr>
          <w:rFonts w:ascii="Arial" w:hAnsi="Arial" w:cs="Arial"/>
          <w:szCs w:val="24"/>
        </w:rPr>
      </w:pPr>
      <w:r>
        <w:rPr>
          <w:rFonts w:ascii="Arial" w:hAnsi="Arial" w:cs="Arial"/>
          <w:szCs w:val="24"/>
        </w:rPr>
        <w:t>Well No. 1 has lost its productive ability due to sand production issues.</w:t>
      </w:r>
    </w:p>
    <w:p w14:paraId="0EAEB8A7" w14:textId="77777777" w:rsidR="008D4DDA" w:rsidRPr="008D4DDA" w:rsidRDefault="008D4DDA" w:rsidP="008D4DDA">
      <w:pPr>
        <w:pStyle w:val="ListParagraph"/>
        <w:rPr>
          <w:rFonts w:ascii="Arial" w:hAnsi="Arial" w:cs="Arial"/>
          <w:szCs w:val="24"/>
          <w:lang w:val="en-CA"/>
        </w:rPr>
      </w:pPr>
    </w:p>
    <w:p w14:paraId="381326D4" w14:textId="31219FA6" w:rsidR="00BE12F3" w:rsidRPr="00226A43" w:rsidRDefault="008D4DDA" w:rsidP="001F5AD1">
      <w:pPr>
        <w:pStyle w:val="ListParagraph"/>
        <w:numPr>
          <w:ilvl w:val="0"/>
          <w:numId w:val="1"/>
        </w:numPr>
        <w:ind w:left="1440" w:hanging="720"/>
        <w:jc w:val="both"/>
        <w:rPr>
          <w:rFonts w:ascii="Arial" w:hAnsi="Arial" w:cs="Arial"/>
          <w:szCs w:val="24"/>
        </w:rPr>
      </w:pPr>
      <w:proofErr w:type="spellStart"/>
      <w:r>
        <w:rPr>
          <w:rFonts w:ascii="Arial" w:hAnsi="Arial" w:cs="Arial"/>
          <w:szCs w:val="24"/>
          <w:lang w:val="en-CA"/>
        </w:rPr>
        <w:t>Hilcorp</w:t>
      </w:r>
      <w:proofErr w:type="spellEnd"/>
      <w:r>
        <w:rPr>
          <w:rFonts w:ascii="Arial" w:hAnsi="Arial" w:cs="Arial"/>
          <w:szCs w:val="24"/>
          <w:lang w:val="en-CA"/>
        </w:rPr>
        <w:t xml:space="preserve"> plans to plug and abandon Well No. 1, and the request for increase in the oil allowable is no longer applicable</w:t>
      </w:r>
      <w:r w:rsidR="00C374BB">
        <w:rPr>
          <w:rFonts w:ascii="Arial" w:hAnsi="Arial" w:cs="Arial"/>
          <w:szCs w:val="24"/>
          <w:lang w:val="en-CA"/>
        </w:rPr>
        <w:t>.</w:t>
      </w:r>
      <w:r w:rsidR="00226A43" w:rsidRPr="00226A43">
        <w:rPr>
          <w:rFonts w:ascii="Arial" w:hAnsi="Arial" w:cs="Arial"/>
          <w:szCs w:val="24"/>
          <w:lang w:val="en-CA"/>
        </w:rPr>
        <w:t xml:space="preserve"> </w:t>
      </w:r>
    </w:p>
    <w:p w14:paraId="290E6AD4" w14:textId="77777777" w:rsidR="00226A43" w:rsidRPr="00226A43" w:rsidRDefault="00226A43" w:rsidP="00226A43">
      <w:pPr>
        <w:jc w:val="both"/>
        <w:rPr>
          <w:rFonts w:ascii="Arial" w:hAnsi="Arial" w:cs="Arial"/>
          <w:szCs w:val="24"/>
        </w:rPr>
      </w:pPr>
    </w:p>
    <w:p w14:paraId="51C5770B" w14:textId="38C492C6" w:rsidR="00BE12F3" w:rsidRPr="00F40AF4" w:rsidRDefault="00C537D4" w:rsidP="001F5AD1">
      <w:pPr>
        <w:pStyle w:val="ListParagraph"/>
        <w:numPr>
          <w:ilvl w:val="0"/>
          <w:numId w:val="1"/>
        </w:numPr>
        <w:ind w:left="1440" w:hanging="720"/>
        <w:jc w:val="both"/>
        <w:rPr>
          <w:rFonts w:ascii="Arial" w:hAnsi="Arial" w:cs="Arial"/>
          <w:szCs w:val="24"/>
        </w:rPr>
      </w:pPr>
      <w:proofErr w:type="spellStart"/>
      <w:r>
        <w:rPr>
          <w:rFonts w:ascii="Arial" w:hAnsi="Arial" w:cs="Arial"/>
          <w:szCs w:val="24"/>
          <w:lang w:val="en-CA"/>
        </w:rPr>
        <w:t>Hilcorp</w:t>
      </w:r>
      <w:proofErr w:type="spellEnd"/>
      <w:r w:rsidR="00226A43">
        <w:rPr>
          <w:rFonts w:ascii="Arial" w:hAnsi="Arial" w:cs="Arial"/>
          <w:szCs w:val="24"/>
          <w:lang w:val="en-CA"/>
        </w:rPr>
        <w:t xml:space="preserve"> </w:t>
      </w:r>
      <w:r w:rsidR="00BE12F3" w:rsidRPr="00F40AF4">
        <w:rPr>
          <w:rFonts w:ascii="Arial" w:hAnsi="Arial" w:cs="Arial"/>
          <w:szCs w:val="24"/>
        </w:rPr>
        <w:t>agreed</w:t>
      </w:r>
      <w:r w:rsidR="009B5806">
        <w:rPr>
          <w:rFonts w:ascii="Arial" w:hAnsi="Arial" w:cs="Arial"/>
          <w:szCs w:val="24"/>
        </w:rPr>
        <w:t xml:space="preserve"> in writing and on the record</w:t>
      </w:r>
      <w:r w:rsidR="00BE12F3" w:rsidRPr="00F40AF4">
        <w:rPr>
          <w:rFonts w:ascii="Arial" w:hAnsi="Arial" w:cs="Arial"/>
          <w:szCs w:val="24"/>
        </w:rPr>
        <w:t>, that, pursuant to the provisions of Texas Government Code §2001.144(a)(4)(A), this Final Order shall be effective on the date a Master Order relating to this Final Order is signed.</w:t>
      </w:r>
    </w:p>
    <w:p w14:paraId="1F74CDA5" w14:textId="77777777" w:rsidR="00BE12F3" w:rsidRPr="00F40AF4" w:rsidRDefault="00BE12F3" w:rsidP="00BE12F3">
      <w:pPr>
        <w:pStyle w:val="ListParagraph"/>
        <w:rPr>
          <w:rFonts w:ascii="Arial" w:hAnsi="Arial" w:cs="Arial"/>
          <w:szCs w:val="24"/>
        </w:rPr>
      </w:pPr>
    </w:p>
    <w:p w14:paraId="5F01F4F4" w14:textId="77777777" w:rsidR="002667D1" w:rsidRPr="00F40AF4" w:rsidRDefault="002667D1" w:rsidP="002667D1">
      <w:pPr>
        <w:ind w:firstLine="720"/>
        <w:jc w:val="both"/>
        <w:rPr>
          <w:rFonts w:ascii="Arial" w:hAnsi="Arial" w:cs="Arial"/>
          <w:szCs w:val="24"/>
        </w:rPr>
      </w:pPr>
    </w:p>
    <w:p w14:paraId="691F0F74" w14:textId="77777777" w:rsidR="002667D1" w:rsidRPr="00F40AF4" w:rsidRDefault="002667D1" w:rsidP="002667D1">
      <w:pPr>
        <w:ind w:firstLine="720"/>
        <w:jc w:val="center"/>
        <w:rPr>
          <w:rFonts w:ascii="Arial" w:hAnsi="Arial" w:cs="Arial"/>
          <w:b/>
          <w:szCs w:val="24"/>
          <w:u w:val="single"/>
        </w:rPr>
      </w:pPr>
      <w:r w:rsidRPr="00F40AF4">
        <w:rPr>
          <w:rFonts w:ascii="Arial" w:hAnsi="Arial" w:cs="Arial"/>
          <w:b/>
          <w:szCs w:val="24"/>
          <w:u w:val="single"/>
        </w:rPr>
        <w:t>CONCLUSIONS OF LAW</w:t>
      </w:r>
    </w:p>
    <w:p w14:paraId="67A0B4AC" w14:textId="77777777" w:rsidR="002667D1" w:rsidRPr="00F40AF4" w:rsidRDefault="002667D1" w:rsidP="002667D1">
      <w:pPr>
        <w:ind w:firstLine="720"/>
        <w:jc w:val="both"/>
        <w:rPr>
          <w:rFonts w:ascii="Arial" w:hAnsi="Arial" w:cs="Arial"/>
          <w:szCs w:val="24"/>
        </w:rPr>
      </w:pPr>
    </w:p>
    <w:p w14:paraId="1B401B07" w14:textId="77777777" w:rsidR="002667D1" w:rsidRPr="00F40AF4" w:rsidRDefault="002667D1" w:rsidP="00407C70">
      <w:pPr>
        <w:pStyle w:val="ListParagraph"/>
        <w:numPr>
          <w:ilvl w:val="0"/>
          <w:numId w:val="4"/>
        </w:numPr>
        <w:ind w:left="1440" w:hanging="720"/>
        <w:jc w:val="both"/>
        <w:rPr>
          <w:rFonts w:ascii="Arial" w:hAnsi="Arial" w:cs="Arial"/>
          <w:szCs w:val="24"/>
        </w:rPr>
      </w:pPr>
      <w:r w:rsidRPr="00F40AF4">
        <w:rPr>
          <w:rFonts w:ascii="Arial" w:hAnsi="Arial" w:cs="Arial"/>
          <w:szCs w:val="24"/>
        </w:rPr>
        <w:t>Proper notice was issued as required by all applicable statutes and regulatory codes.</w:t>
      </w:r>
    </w:p>
    <w:p w14:paraId="0559AEA4" w14:textId="77777777" w:rsidR="002667D1" w:rsidRPr="00F40AF4" w:rsidRDefault="002667D1" w:rsidP="00407C70">
      <w:pPr>
        <w:ind w:left="1440" w:hanging="720"/>
        <w:jc w:val="both"/>
        <w:rPr>
          <w:rFonts w:ascii="Arial" w:hAnsi="Arial" w:cs="Arial"/>
          <w:szCs w:val="24"/>
        </w:rPr>
      </w:pPr>
    </w:p>
    <w:p w14:paraId="5C8D8DE9" w14:textId="77777777" w:rsidR="00803607" w:rsidRPr="00F40AF4" w:rsidRDefault="002667D1" w:rsidP="00407C70">
      <w:pPr>
        <w:pStyle w:val="ListParagraph"/>
        <w:numPr>
          <w:ilvl w:val="0"/>
          <w:numId w:val="4"/>
        </w:numPr>
        <w:ind w:left="1440" w:hanging="720"/>
        <w:jc w:val="both"/>
        <w:rPr>
          <w:rFonts w:ascii="Arial" w:hAnsi="Arial" w:cs="Arial"/>
          <w:szCs w:val="24"/>
        </w:rPr>
      </w:pPr>
      <w:r w:rsidRPr="00F40AF4">
        <w:rPr>
          <w:rFonts w:ascii="Arial" w:hAnsi="Arial" w:cs="Arial"/>
          <w:szCs w:val="24"/>
        </w:rPr>
        <w:t>All things have occurred and been accomplished to give the Commission jurisdiction in this matter.</w:t>
      </w:r>
    </w:p>
    <w:p w14:paraId="3D8A16A9" w14:textId="77777777" w:rsidR="00803607" w:rsidRPr="00F40AF4" w:rsidRDefault="00803607" w:rsidP="00407C70">
      <w:pPr>
        <w:pStyle w:val="ListParagraph"/>
        <w:ind w:left="1440" w:hanging="720"/>
        <w:rPr>
          <w:rFonts w:ascii="Arial" w:hAnsi="Arial" w:cs="Arial"/>
          <w:szCs w:val="24"/>
        </w:rPr>
      </w:pPr>
    </w:p>
    <w:p w14:paraId="75942443" w14:textId="7F951826" w:rsidR="00803607" w:rsidRPr="00F40AF4" w:rsidRDefault="00407C70" w:rsidP="00407C70">
      <w:pPr>
        <w:pStyle w:val="ListParagraph"/>
        <w:numPr>
          <w:ilvl w:val="0"/>
          <w:numId w:val="4"/>
        </w:numPr>
        <w:ind w:left="1440" w:hanging="720"/>
        <w:jc w:val="both"/>
        <w:rPr>
          <w:rFonts w:ascii="Arial" w:hAnsi="Arial" w:cs="Arial"/>
          <w:szCs w:val="24"/>
        </w:rPr>
      </w:pPr>
      <w:r w:rsidRPr="00F40AF4">
        <w:rPr>
          <w:rFonts w:ascii="Arial" w:hAnsi="Arial" w:cs="Arial"/>
          <w:szCs w:val="24"/>
        </w:rPr>
        <w:t>Approval of</w:t>
      </w:r>
      <w:r w:rsidRPr="00F40AF4">
        <w:rPr>
          <w:rFonts w:ascii="Arial" w:hAnsi="Arial" w:cs="Arial"/>
          <w:szCs w:val="24"/>
          <w:lang w:val="en-CA"/>
        </w:rPr>
        <w:t xml:space="preserve"> cancellation of overproduction </w:t>
      </w:r>
      <w:r w:rsidR="002667D1" w:rsidRPr="00F40AF4">
        <w:rPr>
          <w:rFonts w:ascii="Arial" w:hAnsi="Arial" w:cs="Arial"/>
          <w:szCs w:val="24"/>
        </w:rPr>
        <w:t xml:space="preserve">will </w:t>
      </w:r>
      <w:r w:rsidR="00F12D2E">
        <w:rPr>
          <w:rFonts w:ascii="Arial" w:hAnsi="Arial" w:cs="Arial"/>
          <w:szCs w:val="24"/>
        </w:rPr>
        <w:t xml:space="preserve">bring about </w:t>
      </w:r>
      <w:r w:rsidR="00834DB0">
        <w:rPr>
          <w:rFonts w:ascii="Arial" w:hAnsi="Arial" w:cs="Arial"/>
          <w:szCs w:val="24"/>
        </w:rPr>
        <w:t>the administrative compliance and allow for potential future production from the field</w:t>
      </w:r>
      <w:r w:rsidR="00803607" w:rsidRPr="00F40AF4">
        <w:rPr>
          <w:rFonts w:ascii="Arial" w:hAnsi="Arial" w:cs="Arial"/>
          <w:szCs w:val="24"/>
        </w:rPr>
        <w:t>.</w:t>
      </w:r>
    </w:p>
    <w:p w14:paraId="4F401A7F" w14:textId="77777777" w:rsidR="00803607" w:rsidRPr="00F40AF4" w:rsidRDefault="00803607" w:rsidP="00407C70">
      <w:pPr>
        <w:pStyle w:val="ListParagraph"/>
        <w:ind w:left="1440" w:hanging="720"/>
        <w:rPr>
          <w:rFonts w:ascii="Arial" w:hAnsi="Arial" w:cs="Arial"/>
          <w:szCs w:val="24"/>
        </w:rPr>
      </w:pPr>
    </w:p>
    <w:p w14:paraId="69455339" w14:textId="73904181" w:rsidR="002667D1" w:rsidRPr="00F40AF4" w:rsidRDefault="009B5806" w:rsidP="00407C70">
      <w:pPr>
        <w:pStyle w:val="ListParagraph"/>
        <w:numPr>
          <w:ilvl w:val="0"/>
          <w:numId w:val="4"/>
        </w:numPr>
        <w:ind w:left="1440" w:hanging="720"/>
        <w:jc w:val="both"/>
        <w:rPr>
          <w:rFonts w:ascii="Arial" w:hAnsi="Arial" w:cs="Arial"/>
          <w:szCs w:val="24"/>
        </w:rPr>
      </w:pPr>
      <w:r w:rsidRPr="009B5806">
        <w:rPr>
          <w:rFonts w:ascii="Arial" w:hAnsi="Arial" w:cs="Arial"/>
          <w:szCs w:val="24"/>
        </w:rPr>
        <w:t>Pursuant to §2001.144(a)(4)(A) of the Texas Government Code and by agreement of the parties in writing or on the record, the Final Order can be final and effective when a Master Order relating to this Final Order is signed.</w:t>
      </w:r>
    </w:p>
    <w:p w14:paraId="2396B0CA" w14:textId="77777777" w:rsidR="002667D1" w:rsidRPr="00F40AF4" w:rsidRDefault="002667D1" w:rsidP="002667D1">
      <w:pPr>
        <w:ind w:firstLine="720"/>
        <w:jc w:val="both"/>
        <w:rPr>
          <w:rFonts w:ascii="Arial" w:hAnsi="Arial" w:cs="Arial"/>
          <w:szCs w:val="24"/>
        </w:rPr>
      </w:pPr>
      <w:r w:rsidRPr="00F40AF4">
        <w:rPr>
          <w:rFonts w:ascii="Arial" w:hAnsi="Arial" w:cs="Arial"/>
          <w:szCs w:val="24"/>
        </w:rPr>
        <w:tab/>
      </w:r>
    </w:p>
    <w:p w14:paraId="6708EB41" w14:textId="77777777" w:rsidR="00CD21EA" w:rsidRPr="00F40AF4" w:rsidRDefault="00CD21EA" w:rsidP="002667D1">
      <w:pPr>
        <w:ind w:firstLine="720"/>
        <w:jc w:val="both"/>
        <w:rPr>
          <w:rFonts w:ascii="Arial" w:hAnsi="Arial" w:cs="Arial"/>
          <w:szCs w:val="24"/>
        </w:rPr>
      </w:pPr>
    </w:p>
    <w:p w14:paraId="5C360D74" w14:textId="77777777" w:rsidR="002667D1" w:rsidRPr="00F40AF4" w:rsidRDefault="002667D1" w:rsidP="002667D1">
      <w:pPr>
        <w:ind w:firstLine="720"/>
        <w:jc w:val="center"/>
        <w:rPr>
          <w:rFonts w:ascii="Arial" w:hAnsi="Arial" w:cs="Arial"/>
          <w:b/>
          <w:szCs w:val="24"/>
          <w:u w:val="single"/>
        </w:rPr>
      </w:pPr>
      <w:r w:rsidRPr="00F40AF4">
        <w:rPr>
          <w:rFonts w:ascii="Arial" w:hAnsi="Arial" w:cs="Arial"/>
          <w:b/>
          <w:szCs w:val="24"/>
          <w:u w:val="single"/>
        </w:rPr>
        <w:t>EXAMINERS’ RECOMMENDATION</w:t>
      </w:r>
    </w:p>
    <w:p w14:paraId="20AF0A1D" w14:textId="77777777" w:rsidR="002667D1" w:rsidRPr="00F40AF4" w:rsidRDefault="002667D1" w:rsidP="002667D1">
      <w:pPr>
        <w:ind w:firstLine="720"/>
        <w:jc w:val="both"/>
        <w:rPr>
          <w:rFonts w:ascii="Arial" w:hAnsi="Arial" w:cs="Arial"/>
          <w:szCs w:val="24"/>
        </w:rPr>
      </w:pPr>
    </w:p>
    <w:p w14:paraId="7623AE62" w14:textId="46BF4042" w:rsidR="002667D1" w:rsidRPr="00F40AF4" w:rsidRDefault="002667D1" w:rsidP="002667D1">
      <w:pPr>
        <w:ind w:firstLine="720"/>
        <w:jc w:val="both"/>
        <w:rPr>
          <w:rFonts w:ascii="Arial" w:hAnsi="Arial" w:cs="Arial"/>
          <w:szCs w:val="24"/>
        </w:rPr>
      </w:pPr>
      <w:r w:rsidRPr="00F40AF4">
        <w:rPr>
          <w:rFonts w:ascii="Arial" w:hAnsi="Arial" w:cs="Arial"/>
          <w:szCs w:val="24"/>
        </w:rPr>
        <w:t xml:space="preserve">Based on the above findings of fact and conclusions </w:t>
      </w:r>
      <w:r w:rsidR="00CB5F81" w:rsidRPr="00F40AF4">
        <w:rPr>
          <w:rFonts w:ascii="Arial" w:hAnsi="Arial" w:cs="Arial"/>
          <w:szCs w:val="24"/>
        </w:rPr>
        <w:t>of law, the Examiners recommend</w:t>
      </w:r>
      <w:r w:rsidR="00CD21EA" w:rsidRPr="00F40AF4">
        <w:rPr>
          <w:rFonts w:ascii="Arial" w:hAnsi="Arial" w:cs="Arial"/>
          <w:szCs w:val="24"/>
        </w:rPr>
        <w:t xml:space="preserve"> </w:t>
      </w:r>
      <w:r w:rsidR="00CB5F81" w:rsidRPr="00F40AF4">
        <w:rPr>
          <w:rFonts w:ascii="Arial" w:hAnsi="Arial" w:cs="Arial"/>
          <w:szCs w:val="24"/>
          <w:lang w:val="en-CA"/>
        </w:rPr>
        <w:t>a cancellation of overproduction</w:t>
      </w:r>
      <w:r w:rsidR="00834DB0">
        <w:rPr>
          <w:rFonts w:ascii="Arial" w:hAnsi="Arial" w:cs="Arial"/>
          <w:szCs w:val="24"/>
          <w:lang w:val="en-CA"/>
        </w:rPr>
        <w:t xml:space="preserve"> for </w:t>
      </w:r>
      <w:r w:rsidR="00834DB0" w:rsidRPr="00F40AF4">
        <w:rPr>
          <w:rFonts w:ascii="Arial" w:hAnsi="Arial" w:cs="Arial"/>
          <w:szCs w:val="24"/>
          <w:lang w:val="en-CA"/>
        </w:rPr>
        <w:t xml:space="preserve">the </w:t>
      </w:r>
      <w:r w:rsidR="00834DB0">
        <w:rPr>
          <w:rFonts w:ascii="Arial" w:hAnsi="Arial" w:cs="Arial"/>
          <w:szCs w:val="24"/>
          <w:lang w:val="en-CA"/>
        </w:rPr>
        <w:t xml:space="preserve">Well No. 1, </w:t>
      </w:r>
      <w:r w:rsidR="00745E01">
        <w:rPr>
          <w:rFonts w:ascii="Arial" w:hAnsi="Arial" w:cs="Arial"/>
          <w:szCs w:val="24"/>
        </w:rPr>
        <w:t>Monroe City Ranch Lease</w:t>
      </w:r>
      <w:r w:rsidR="00CD21EA" w:rsidRPr="00F40AF4">
        <w:rPr>
          <w:rFonts w:ascii="Arial" w:hAnsi="Arial" w:cs="Arial"/>
          <w:szCs w:val="24"/>
        </w:rPr>
        <w:t>.</w:t>
      </w:r>
    </w:p>
    <w:p w14:paraId="51E5DA1D" w14:textId="77777777" w:rsidR="002667D1" w:rsidRPr="00F40AF4" w:rsidRDefault="002667D1" w:rsidP="002667D1">
      <w:pPr>
        <w:ind w:firstLine="720"/>
        <w:jc w:val="both"/>
        <w:rPr>
          <w:rFonts w:ascii="Arial" w:hAnsi="Arial" w:cs="Arial"/>
          <w:szCs w:val="24"/>
        </w:rPr>
      </w:pPr>
      <w:r w:rsidRPr="00F40AF4">
        <w:rPr>
          <w:rFonts w:ascii="Arial" w:hAnsi="Arial" w:cs="Arial"/>
          <w:szCs w:val="24"/>
        </w:rPr>
        <w:tab/>
      </w:r>
    </w:p>
    <w:p w14:paraId="79ED75C1" w14:textId="77777777" w:rsidR="002667D1" w:rsidRPr="00F40AF4" w:rsidRDefault="002667D1" w:rsidP="008C5EDD">
      <w:pPr>
        <w:ind w:firstLine="720"/>
        <w:jc w:val="center"/>
        <w:rPr>
          <w:rFonts w:ascii="Arial" w:hAnsi="Arial" w:cs="Arial"/>
          <w:szCs w:val="24"/>
        </w:rPr>
      </w:pPr>
      <w:r w:rsidRPr="00F40AF4">
        <w:rPr>
          <w:rFonts w:ascii="Arial" w:hAnsi="Arial" w:cs="Arial"/>
          <w:szCs w:val="24"/>
        </w:rPr>
        <w:t>Respectfully submitted,</w:t>
      </w:r>
    </w:p>
    <w:p w14:paraId="25CB6A8C" w14:textId="77777777" w:rsidR="002667D1" w:rsidRPr="00F40AF4" w:rsidRDefault="002667D1" w:rsidP="002667D1">
      <w:pPr>
        <w:ind w:firstLine="720"/>
        <w:jc w:val="both"/>
        <w:rPr>
          <w:rFonts w:ascii="Arial" w:hAnsi="Arial" w:cs="Arial"/>
          <w:szCs w:val="24"/>
        </w:rPr>
      </w:pPr>
      <w:r w:rsidRPr="00F40AF4">
        <w:rPr>
          <w:rFonts w:ascii="Arial" w:hAnsi="Arial" w:cs="Arial"/>
          <w:szCs w:val="24"/>
        </w:rPr>
        <w:tab/>
      </w:r>
      <w:r w:rsidRPr="00F40AF4">
        <w:rPr>
          <w:rFonts w:ascii="Arial" w:hAnsi="Arial" w:cs="Arial"/>
          <w:szCs w:val="24"/>
        </w:rPr>
        <w:tab/>
      </w:r>
      <w:r w:rsidRPr="00F40AF4">
        <w:rPr>
          <w:rFonts w:ascii="Arial" w:hAnsi="Arial" w:cs="Arial"/>
          <w:szCs w:val="24"/>
        </w:rPr>
        <w:tab/>
      </w:r>
      <w:r w:rsidRPr="00F40AF4">
        <w:rPr>
          <w:rFonts w:ascii="Arial" w:hAnsi="Arial" w:cs="Arial"/>
          <w:szCs w:val="24"/>
        </w:rPr>
        <w:tab/>
      </w:r>
      <w:r w:rsidRPr="00F40AF4">
        <w:rPr>
          <w:rFonts w:ascii="Arial" w:hAnsi="Arial" w:cs="Arial"/>
          <w:szCs w:val="24"/>
        </w:rPr>
        <w:tab/>
      </w:r>
    </w:p>
    <w:p w14:paraId="07C33309" w14:textId="6913CA23" w:rsidR="00CD21EA" w:rsidRDefault="00CD21EA" w:rsidP="002667D1">
      <w:pPr>
        <w:ind w:firstLine="720"/>
        <w:jc w:val="both"/>
        <w:rPr>
          <w:rFonts w:ascii="Arial" w:hAnsi="Arial" w:cs="Arial"/>
          <w:szCs w:val="24"/>
        </w:rPr>
      </w:pPr>
    </w:p>
    <w:p w14:paraId="373E7CCD" w14:textId="77777777" w:rsidR="001F5AD1" w:rsidRPr="00F40AF4" w:rsidRDefault="001F5AD1" w:rsidP="002667D1">
      <w:pPr>
        <w:ind w:firstLine="720"/>
        <w:jc w:val="both"/>
        <w:rPr>
          <w:rFonts w:ascii="Arial" w:hAnsi="Arial" w:cs="Arial"/>
          <w:szCs w:val="24"/>
        </w:rPr>
      </w:pPr>
    </w:p>
    <w:p w14:paraId="6689A042" w14:textId="77777777" w:rsidR="00CD21EA" w:rsidRPr="00F40AF4" w:rsidRDefault="00CD21EA" w:rsidP="002667D1">
      <w:pPr>
        <w:ind w:firstLine="720"/>
        <w:jc w:val="both"/>
        <w:rPr>
          <w:rFonts w:ascii="Arial" w:hAnsi="Arial" w:cs="Arial"/>
          <w:szCs w:val="24"/>
        </w:rPr>
      </w:pPr>
    </w:p>
    <w:p w14:paraId="48D5E276" w14:textId="368634E9" w:rsidR="002667D1" w:rsidRPr="00F40AF4" w:rsidRDefault="002667D1" w:rsidP="002667D1">
      <w:pPr>
        <w:ind w:firstLine="720"/>
        <w:jc w:val="both"/>
        <w:rPr>
          <w:rFonts w:ascii="Arial" w:hAnsi="Arial" w:cs="Arial"/>
          <w:szCs w:val="24"/>
        </w:rPr>
      </w:pPr>
      <w:r w:rsidRPr="00F40AF4">
        <w:rPr>
          <w:rFonts w:ascii="Arial" w:hAnsi="Arial" w:cs="Arial"/>
          <w:szCs w:val="24"/>
        </w:rPr>
        <w:tab/>
      </w:r>
      <w:r w:rsidRPr="00F40AF4">
        <w:rPr>
          <w:rFonts w:ascii="Arial" w:hAnsi="Arial" w:cs="Arial"/>
          <w:szCs w:val="24"/>
        </w:rPr>
        <w:tab/>
      </w:r>
      <w:r w:rsidR="00F75D6B" w:rsidRPr="00F75D6B">
        <w:rPr>
          <w:rFonts w:ascii="Arial" w:hAnsi="Arial" w:cs="Arial"/>
          <w:szCs w:val="24"/>
        </w:rPr>
        <w:t>Petar Buva</w:t>
      </w:r>
      <w:r w:rsidR="00F75D6B">
        <w:rPr>
          <w:rFonts w:ascii="Arial" w:hAnsi="Arial" w:cs="Arial"/>
          <w:szCs w:val="24"/>
        </w:rPr>
        <w:tab/>
      </w:r>
      <w:r w:rsidRPr="00F40AF4">
        <w:rPr>
          <w:rFonts w:ascii="Arial" w:hAnsi="Arial" w:cs="Arial"/>
          <w:szCs w:val="24"/>
        </w:rPr>
        <w:t xml:space="preserve"> </w:t>
      </w:r>
      <w:r w:rsidRPr="00F40AF4">
        <w:rPr>
          <w:rFonts w:ascii="Arial" w:hAnsi="Arial" w:cs="Arial"/>
          <w:szCs w:val="24"/>
        </w:rPr>
        <w:tab/>
      </w:r>
      <w:r w:rsidRPr="00F40AF4">
        <w:rPr>
          <w:rFonts w:ascii="Arial" w:hAnsi="Arial" w:cs="Arial"/>
          <w:szCs w:val="24"/>
        </w:rPr>
        <w:tab/>
      </w:r>
      <w:r w:rsidRPr="00F40AF4">
        <w:rPr>
          <w:rFonts w:ascii="Arial" w:hAnsi="Arial" w:cs="Arial"/>
          <w:szCs w:val="24"/>
        </w:rPr>
        <w:tab/>
      </w:r>
      <w:r w:rsidR="00C374BB">
        <w:rPr>
          <w:rFonts w:ascii="Arial" w:hAnsi="Arial" w:cs="Arial"/>
          <w:szCs w:val="24"/>
        </w:rPr>
        <w:t>Clayton J. Hoover</w:t>
      </w:r>
    </w:p>
    <w:p w14:paraId="78C1A634" w14:textId="29630BDD" w:rsidR="008A7CB2" w:rsidRPr="00F40AF4" w:rsidRDefault="002667D1" w:rsidP="009F2EE4">
      <w:pPr>
        <w:ind w:firstLine="720"/>
        <w:jc w:val="both"/>
        <w:rPr>
          <w:rFonts w:ascii="Arial" w:hAnsi="Arial" w:cs="Arial"/>
          <w:szCs w:val="24"/>
        </w:rPr>
      </w:pPr>
      <w:r w:rsidRPr="00F40AF4">
        <w:rPr>
          <w:rFonts w:ascii="Arial" w:hAnsi="Arial" w:cs="Arial"/>
          <w:szCs w:val="24"/>
        </w:rPr>
        <w:tab/>
      </w:r>
      <w:r w:rsidRPr="00F40AF4">
        <w:rPr>
          <w:rFonts w:ascii="Arial" w:hAnsi="Arial" w:cs="Arial"/>
          <w:szCs w:val="24"/>
        </w:rPr>
        <w:tab/>
        <w:t>Techn</w:t>
      </w:r>
      <w:r w:rsidR="00CD21EA" w:rsidRPr="00F40AF4">
        <w:rPr>
          <w:rFonts w:ascii="Arial" w:hAnsi="Arial" w:cs="Arial"/>
          <w:szCs w:val="24"/>
        </w:rPr>
        <w:t>ical Examiner</w:t>
      </w:r>
      <w:r w:rsidR="00CD21EA" w:rsidRPr="00F40AF4">
        <w:rPr>
          <w:rFonts w:ascii="Arial" w:hAnsi="Arial" w:cs="Arial"/>
          <w:szCs w:val="24"/>
        </w:rPr>
        <w:tab/>
      </w:r>
      <w:r w:rsidR="00CD21EA" w:rsidRPr="00F40AF4">
        <w:rPr>
          <w:rFonts w:ascii="Arial" w:hAnsi="Arial" w:cs="Arial"/>
          <w:szCs w:val="24"/>
        </w:rPr>
        <w:tab/>
      </w:r>
      <w:r w:rsidR="00CD21EA" w:rsidRPr="00F40AF4">
        <w:rPr>
          <w:rFonts w:ascii="Arial" w:hAnsi="Arial" w:cs="Arial"/>
          <w:szCs w:val="24"/>
        </w:rPr>
        <w:tab/>
      </w:r>
      <w:r w:rsidRPr="00F40AF4">
        <w:rPr>
          <w:rFonts w:ascii="Arial" w:hAnsi="Arial" w:cs="Arial"/>
          <w:szCs w:val="24"/>
        </w:rPr>
        <w:t>Administrative Law Judge</w:t>
      </w:r>
    </w:p>
    <w:sectPr w:rsidR="008A7CB2" w:rsidRPr="00F40AF4" w:rsidSect="009874DB">
      <w:headerReference w:type="default" r:id="rId8"/>
      <w:headerReference w:type="first" r:id="rId9"/>
      <w:footerReference w:type="first" r:id="rId10"/>
      <w:pgSz w:w="12240" w:h="15840" w:code="1"/>
      <w:pgMar w:top="1440" w:right="1440" w:bottom="1440" w:left="1440" w:header="720" w:footer="216" w:gutter="0"/>
      <w:paperSrc w:first="260" w:other="26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E3E25" w14:textId="77777777" w:rsidR="00BF0ADE" w:rsidRDefault="00BF0ADE">
      <w:r>
        <w:separator/>
      </w:r>
    </w:p>
  </w:endnote>
  <w:endnote w:type="continuationSeparator" w:id="0">
    <w:p w14:paraId="5A64ABF8" w14:textId="77777777" w:rsidR="00BF0ADE" w:rsidRDefault="00BF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31B" w14:textId="77777777" w:rsidR="00AD7616" w:rsidRPr="00B15614" w:rsidRDefault="00AD7616" w:rsidP="00AD7616">
    <w:pPr>
      <w:widowControl w:val="0"/>
      <w:tabs>
        <w:tab w:val="center" w:pos="5040"/>
        <w:tab w:val="right" w:pos="10080"/>
      </w:tabs>
      <w:ind w:left="-720" w:right="-720"/>
      <w:jc w:val="center"/>
      <w:rPr>
        <w:b/>
        <w:smallCaps/>
        <w:sz w:val="16"/>
        <w:szCs w:val="16"/>
      </w:rPr>
    </w:pPr>
    <w:r w:rsidRPr="00B15614">
      <w:rPr>
        <w:b/>
        <w:smallCaps/>
        <w:sz w:val="16"/>
        <w:szCs w:val="16"/>
      </w:rPr>
      <w:t xml:space="preserve">1701 North Congress Avenue       </w:t>
    </w:r>
    <w:r w:rsidRPr="00B15614">
      <w:rPr>
        <w:smallCaps/>
        <w:sz w:val="16"/>
        <w:szCs w:val="16"/>
      </w:rPr>
      <w:sym w:font="Wingdings" w:char="F0AB"/>
    </w:r>
    <w:r w:rsidRPr="00B15614">
      <w:rPr>
        <w:b/>
        <w:smallCaps/>
        <w:sz w:val="16"/>
        <w:szCs w:val="16"/>
      </w:rPr>
      <w:t xml:space="preserve">       Post Office Box 12967       </w:t>
    </w:r>
    <w:r w:rsidRPr="00B15614">
      <w:rPr>
        <w:smallCaps/>
        <w:sz w:val="16"/>
        <w:szCs w:val="16"/>
      </w:rPr>
      <w:sym w:font="Wingdings" w:char="F0AB"/>
    </w:r>
    <w:r w:rsidRPr="00B15614">
      <w:rPr>
        <w:smallCaps/>
        <w:sz w:val="16"/>
        <w:szCs w:val="16"/>
      </w:rPr>
      <w:t xml:space="preserve">    </w:t>
    </w:r>
    <w:r w:rsidRPr="00B15614">
      <w:rPr>
        <w:b/>
        <w:smallCaps/>
        <w:sz w:val="16"/>
        <w:szCs w:val="16"/>
      </w:rPr>
      <w:t xml:space="preserve">  Austin, Texas 78711</w:t>
    </w:r>
    <w:r w:rsidRPr="00B15614">
      <w:rPr>
        <w:b/>
        <w:smallCaps/>
        <w:sz w:val="16"/>
        <w:szCs w:val="16"/>
      </w:rPr>
      <w:noBreakHyphen/>
      <w:t xml:space="preserve">2967      </w:t>
    </w:r>
    <w:r w:rsidRPr="00B15614">
      <w:rPr>
        <w:smallCaps/>
        <w:sz w:val="16"/>
        <w:szCs w:val="16"/>
      </w:rPr>
      <w:sym w:font="Wingdings" w:char="F0AB"/>
    </w:r>
    <w:r w:rsidRPr="00B15614">
      <w:rPr>
        <w:b/>
        <w:smallCaps/>
        <w:sz w:val="16"/>
        <w:szCs w:val="16"/>
      </w:rPr>
      <w:t xml:space="preserve">      Phone: 512/463-6</w:t>
    </w:r>
    <w:r w:rsidR="004B5A60">
      <w:rPr>
        <w:b/>
        <w:smallCaps/>
        <w:sz w:val="16"/>
        <w:szCs w:val="16"/>
      </w:rPr>
      <w:t>924</w:t>
    </w:r>
    <w:r w:rsidRPr="00B15614">
      <w:rPr>
        <w:b/>
        <w:smallCaps/>
        <w:sz w:val="16"/>
        <w:szCs w:val="16"/>
      </w:rPr>
      <w:t xml:space="preserve">       </w:t>
    </w:r>
    <w:r w:rsidRPr="00B15614">
      <w:rPr>
        <w:smallCaps/>
        <w:sz w:val="16"/>
        <w:szCs w:val="16"/>
      </w:rPr>
      <w:sym w:font="Wingdings" w:char="F0AB"/>
    </w:r>
    <w:r w:rsidRPr="00B15614">
      <w:rPr>
        <w:b/>
        <w:smallCaps/>
        <w:sz w:val="16"/>
        <w:szCs w:val="16"/>
      </w:rPr>
      <w:t xml:space="preserve">       Fax:  512/463-6</w:t>
    </w:r>
    <w:r w:rsidR="004B5A60">
      <w:rPr>
        <w:b/>
        <w:smallCaps/>
        <w:sz w:val="16"/>
        <w:szCs w:val="16"/>
      </w:rPr>
      <w:t>989</w:t>
    </w:r>
  </w:p>
  <w:p w14:paraId="665A2E7D" w14:textId="77777777" w:rsidR="00DC2D99" w:rsidRPr="00B15614" w:rsidRDefault="00AD7616" w:rsidP="00AD7616">
    <w:pPr>
      <w:widowControl w:val="0"/>
      <w:tabs>
        <w:tab w:val="center" w:pos="5040"/>
        <w:tab w:val="right" w:pos="10080"/>
      </w:tabs>
      <w:ind w:left="-720" w:right="-720"/>
      <w:jc w:val="both"/>
      <w:rPr>
        <w:sz w:val="16"/>
        <w:szCs w:val="16"/>
      </w:rPr>
    </w:pPr>
    <w:r w:rsidRPr="00B15614">
      <w:rPr>
        <w:b/>
        <w:smallCaps/>
        <w:sz w:val="16"/>
        <w:szCs w:val="16"/>
      </w:rPr>
      <w:t>TDD 800/735</w:t>
    </w:r>
    <w:r w:rsidRPr="00B15614">
      <w:rPr>
        <w:b/>
        <w:smallCaps/>
        <w:sz w:val="16"/>
        <w:szCs w:val="16"/>
      </w:rPr>
      <w:noBreakHyphen/>
      <w:t>2989</w:t>
    </w:r>
    <w:r w:rsidR="00391932">
      <w:rPr>
        <w:b/>
        <w:smallCaps/>
        <w:sz w:val="16"/>
        <w:szCs w:val="16"/>
      </w:rPr>
      <w:t xml:space="preserve"> or TDY 512/463-7284</w:t>
    </w:r>
    <w:r w:rsidRPr="00B15614">
      <w:rPr>
        <w:b/>
        <w:smallCaps/>
        <w:sz w:val="16"/>
        <w:szCs w:val="16"/>
      </w:rPr>
      <w:tab/>
      <w:t>An Equal Opportunity Employer</w:t>
    </w:r>
    <w:r w:rsidRPr="00B15614">
      <w:rPr>
        <w:b/>
        <w:sz w:val="16"/>
        <w:szCs w:val="16"/>
      </w:rPr>
      <w:tab/>
    </w:r>
    <w:r w:rsidR="005B17CA" w:rsidRPr="00B15614">
      <w:rPr>
        <w:b/>
        <w:sz w:val="16"/>
        <w:szCs w:val="16"/>
      </w:rPr>
      <w:t>http://www.rrc.texas.gov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95F0" w14:textId="77777777" w:rsidR="00BF0ADE" w:rsidRDefault="00BF0ADE">
      <w:r>
        <w:separator/>
      </w:r>
    </w:p>
  </w:footnote>
  <w:footnote w:type="continuationSeparator" w:id="0">
    <w:p w14:paraId="082310B3" w14:textId="77777777" w:rsidR="00BF0ADE" w:rsidRDefault="00BF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7B7E" w14:textId="77777777" w:rsidR="008A7CB2" w:rsidRPr="008A7CB2" w:rsidRDefault="008A7CB2">
    <w:pPr>
      <w:pStyle w:val="Header"/>
      <w:rPr>
        <w:rFonts w:ascii="Gill Sans MT" w:hAnsi="Gill Sans MT"/>
      </w:rPr>
    </w:pPr>
  </w:p>
  <w:p w14:paraId="04573E7C" w14:textId="00D1B607" w:rsidR="008A7CB2" w:rsidRPr="00944031" w:rsidRDefault="008A7CB2" w:rsidP="008A7CB2">
    <w:pPr>
      <w:jc w:val="both"/>
      <w:rPr>
        <w:rFonts w:ascii="Arial" w:hAnsi="Arial" w:cs="Arial"/>
        <w:b/>
      </w:rPr>
    </w:pPr>
    <w:r w:rsidRPr="00944031">
      <w:rPr>
        <w:rFonts w:ascii="Arial" w:hAnsi="Arial" w:cs="Arial"/>
        <w:b/>
      </w:rPr>
      <w:t xml:space="preserve">OIL AND GAS DOCKET NO. </w:t>
    </w:r>
    <w:r w:rsidR="00531767">
      <w:rPr>
        <w:rFonts w:ascii="Arial" w:hAnsi="Arial" w:cs="Arial"/>
        <w:b/>
      </w:rPr>
      <w:t>03-031</w:t>
    </w:r>
    <w:r w:rsidR="00457AB0">
      <w:rPr>
        <w:rFonts w:ascii="Arial" w:hAnsi="Arial" w:cs="Arial"/>
        <w:b/>
      </w:rPr>
      <w:t>378</w:t>
    </w:r>
    <w:r w:rsidR="00E62332">
      <w:rPr>
        <w:rFonts w:ascii="Arial" w:hAnsi="Arial" w:cs="Arial"/>
        <w:b/>
      </w:rPr>
      <w:t>4</w:t>
    </w:r>
    <w:r w:rsidRPr="00944031">
      <w:rPr>
        <w:rFonts w:ascii="Arial" w:hAnsi="Arial" w:cs="Arial"/>
        <w:b/>
      </w:rPr>
      <w:tab/>
    </w:r>
    <w:r w:rsidRPr="00944031">
      <w:rPr>
        <w:rFonts w:ascii="Arial" w:hAnsi="Arial" w:cs="Arial"/>
        <w:b/>
      </w:rPr>
      <w:tab/>
    </w:r>
    <w:r w:rsidRPr="00944031">
      <w:rPr>
        <w:rFonts w:ascii="Arial" w:hAnsi="Arial" w:cs="Arial"/>
        <w:b/>
      </w:rPr>
      <w:tab/>
    </w:r>
    <w:r w:rsidRPr="00944031">
      <w:rPr>
        <w:rFonts w:ascii="Arial" w:hAnsi="Arial" w:cs="Arial"/>
        <w:b/>
      </w:rPr>
      <w:tab/>
    </w:r>
    <w:r w:rsidRPr="00944031">
      <w:rPr>
        <w:rFonts w:ascii="Arial" w:hAnsi="Arial" w:cs="Arial"/>
        <w:b/>
      </w:rPr>
      <w:tab/>
    </w:r>
    <w:r w:rsidR="00671FB1" w:rsidRPr="00671FB1">
      <w:rPr>
        <w:rFonts w:ascii="Arial" w:hAnsi="Arial" w:cs="Arial"/>
        <w:b/>
      </w:rPr>
      <w:t xml:space="preserve">PAGE </w:t>
    </w:r>
    <w:r w:rsidR="00671FB1" w:rsidRPr="00671FB1">
      <w:rPr>
        <w:rFonts w:ascii="Arial" w:hAnsi="Arial" w:cs="Arial"/>
        <w:b/>
        <w:bCs/>
      </w:rPr>
      <w:fldChar w:fldCharType="begin"/>
    </w:r>
    <w:r w:rsidR="00671FB1" w:rsidRPr="00671FB1">
      <w:rPr>
        <w:rFonts w:ascii="Arial" w:hAnsi="Arial" w:cs="Arial"/>
        <w:b/>
        <w:bCs/>
      </w:rPr>
      <w:instrText xml:space="preserve"> PAGE  \* Arabic  \* MERGEFORMAT </w:instrText>
    </w:r>
    <w:r w:rsidR="00671FB1" w:rsidRPr="00671FB1">
      <w:rPr>
        <w:rFonts w:ascii="Arial" w:hAnsi="Arial" w:cs="Arial"/>
        <w:b/>
        <w:bCs/>
      </w:rPr>
      <w:fldChar w:fldCharType="separate"/>
    </w:r>
    <w:r w:rsidR="00671FB1" w:rsidRPr="00671FB1">
      <w:rPr>
        <w:rFonts w:ascii="Arial" w:hAnsi="Arial" w:cs="Arial"/>
        <w:b/>
        <w:bCs/>
        <w:noProof/>
      </w:rPr>
      <w:t>1</w:t>
    </w:r>
    <w:r w:rsidR="00671FB1" w:rsidRPr="00671FB1">
      <w:rPr>
        <w:rFonts w:ascii="Arial" w:hAnsi="Arial" w:cs="Arial"/>
        <w:b/>
        <w:bCs/>
      </w:rPr>
      <w:fldChar w:fldCharType="end"/>
    </w:r>
    <w:r w:rsidR="00671FB1" w:rsidRPr="00671FB1">
      <w:rPr>
        <w:rFonts w:ascii="Arial" w:hAnsi="Arial" w:cs="Arial"/>
        <w:b/>
      </w:rPr>
      <w:t xml:space="preserve"> of </w:t>
    </w:r>
    <w:r w:rsidR="00671FB1" w:rsidRPr="00671FB1">
      <w:rPr>
        <w:rFonts w:ascii="Arial" w:hAnsi="Arial" w:cs="Arial"/>
        <w:b/>
        <w:bCs/>
      </w:rPr>
      <w:fldChar w:fldCharType="begin"/>
    </w:r>
    <w:r w:rsidR="00671FB1" w:rsidRPr="00671FB1">
      <w:rPr>
        <w:rFonts w:ascii="Arial" w:hAnsi="Arial" w:cs="Arial"/>
        <w:b/>
        <w:bCs/>
      </w:rPr>
      <w:instrText xml:space="preserve"> NUMPAGES  \* Arabic  \* MERGEFORMAT </w:instrText>
    </w:r>
    <w:r w:rsidR="00671FB1" w:rsidRPr="00671FB1">
      <w:rPr>
        <w:rFonts w:ascii="Arial" w:hAnsi="Arial" w:cs="Arial"/>
        <w:b/>
        <w:bCs/>
      </w:rPr>
      <w:fldChar w:fldCharType="separate"/>
    </w:r>
    <w:r w:rsidR="00671FB1" w:rsidRPr="00671FB1">
      <w:rPr>
        <w:rFonts w:ascii="Arial" w:hAnsi="Arial" w:cs="Arial"/>
        <w:b/>
        <w:bCs/>
        <w:noProof/>
      </w:rPr>
      <w:t>2</w:t>
    </w:r>
    <w:r w:rsidR="00671FB1" w:rsidRPr="00671FB1">
      <w:rPr>
        <w:rFonts w:ascii="Arial" w:hAnsi="Arial" w:cs="Arial"/>
        <w:b/>
        <w:bCs/>
      </w:rPr>
      <w:fldChar w:fldCharType="end"/>
    </w:r>
  </w:p>
  <w:p w14:paraId="2204C6E2" w14:textId="77777777" w:rsidR="008A7CB2" w:rsidRPr="008A7CB2" w:rsidRDefault="008A7CB2">
    <w:pPr>
      <w:pStyle w:val="Header"/>
      <w:rPr>
        <w:rFonts w:ascii="Gill Sans MT" w:hAnsi="Gill Sans MT"/>
      </w:rPr>
    </w:pPr>
  </w:p>
  <w:p w14:paraId="2C4E898B" w14:textId="77777777" w:rsidR="00EB3845" w:rsidRPr="008A7CB2" w:rsidRDefault="00EB3845">
    <w:pPr>
      <w:pStyle w:val="Header"/>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FF88" w14:textId="77777777" w:rsidR="00177BBE" w:rsidRDefault="00177BBE" w:rsidP="00B15614">
    <w:pPr>
      <w:widowControl w:val="0"/>
      <w:tabs>
        <w:tab w:val="right" w:pos="10080"/>
      </w:tabs>
      <w:spacing w:after="40"/>
      <w:ind w:left="-720" w:right="-720"/>
      <w:rPr>
        <w:b/>
        <w:smallCaps/>
        <w:sz w:val="20"/>
      </w:rPr>
    </w:pPr>
    <w:r w:rsidRPr="00B15614">
      <w:rPr>
        <w:b/>
        <w:smallCaps/>
        <w:noProof/>
        <w:sz w:val="20"/>
      </w:rPr>
      <w:drawing>
        <wp:anchor distT="0" distB="0" distL="114300" distR="114300" simplePos="0" relativeHeight="251658240" behindDoc="1" locked="0" layoutInCell="1" allowOverlap="1" wp14:anchorId="2383BDF1" wp14:editId="101A80EC">
          <wp:simplePos x="0" y="0"/>
          <wp:positionH relativeFrom="page">
            <wp:align>center</wp:align>
          </wp:positionH>
          <wp:positionV relativeFrom="page">
            <wp:posOffset>409575</wp:posOffset>
          </wp:positionV>
          <wp:extent cx="916025" cy="8961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4.jpg"/>
                  <pic:cNvPicPr/>
                </pic:nvPicPr>
                <pic:blipFill>
                  <a:blip r:embed="rId1">
                    <a:extLst>
                      <a:ext uri="{28A0092B-C50C-407E-A947-70E740481C1C}">
                        <a14:useLocalDpi xmlns:a14="http://schemas.microsoft.com/office/drawing/2010/main" val="0"/>
                      </a:ext>
                    </a:extLst>
                  </a:blip>
                  <a:stretch>
                    <a:fillRect/>
                  </a:stretch>
                </pic:blipFill>
                <pic:spPr>
                  <a:xfrm>
                    <a:off x="0" y="0"/>
                    <a:ext cx="916025" cy="896112"/>
                  </a:xfrm>
                  <a:prstGeom prst="rect">
                    <a:avLst/>
                  </a:prstGeom>
                </pic:spPr>
              </pic:pic>
            </a:graphicData>
          </a:graphic>
        </wp:anchor>
      </w:drawing>
    </w:r>
  </w:p>
  <w:p w14:paraId="55030475" w14:textId="0AE0216D" w:rsidR="00DC2D99" w:rsidRPr="00B15614" w:rsidRDefault="0028375F" w:rsidP="00B15614">
    <w:pPr>
      <w:widowControl w:val="0"/>
      <w:tabs>
        <w:tab w:val="right" w:pos="10080"/>
      </w:tabs>
      <w:spacing w:after="40"/>
      <w:ind w:left="-720" w:right="-720"/>
      <w:rPr>
        <w:b/>
        <w:smallCaps/>
        <w:sz w:val="20"/>
      </w:rPr>
    </w:pPr>
    <w:r w:rsidRPr="00B15614">
      <w:rPr>
        <w:b/>
        <w:smallCaps/>
        <w:sz w:val="20"/>
      </w:rPr>
      <w:fldChar w:fldCharType="begin"/>
    </w:r>
    <w:r w:rsidR="00A74698" w:rsidRPr="00B15614">
      <w:rPr>
        <w:b/>
        <w:smallCaps/>
        <w:sz w:val="20"/>
      </w:rPr>
      <w:instrText>ADVANCE \y54</w:instrText>
    </w:r>
    <w:r w:rsidRPr="00B15614">
      <w:rPr>
        <w:b/>
        <w:smallCaps/>
        <w:sz w:val="20"/>
      </w:rPr>
      <w:fldChar w:fldCharType="end"/>
    </w:r>
    <w:r w:rsidR="00B15614" w:rsidRPr="00B15614">
      <w:rPr>
        <w:b/>
        <w:smallCaps/>
        <w:sz w:val="20"/>
      </w:rPr>
      <w:t>Christi Craddick</w:t>
    </w:r>
    <w:r w:rsidR="00A74698" w:rsidRPr="00B15614">
      <w:rPr>
        <w:b/>
        <w:smallCaps/>
        <w:sz w:val="20"/>
      </w:rPr>
      <w:t xml:space="preserve">, </w:t>
    </w:r>
    <w:r w:rsidR="00A74698" w:rsidRPr="00B15614">
      <w:rPr>
        <w:b/>
        <w:i/>
        <w:smallCaps/>
        <w:sz w:val="20"/>
      </w:rPr>
      <w:t>Chairman</w:t>
    </w:r>
    <w:r w:rsidR="00043481" w:rsidRPr="00B15614">
      <w:rPr>
        <w:b/>
        <w:smallCaps/>
        <w:sz w:val="20"/>
      </w:rPr>
      <w:tab/>
    </w:r>
    <w:r w:rsidR="002F0B99">
      <w:rPr>
        <w:b/>
        <w:smallCaps/>
        <w:sz w:val="20"/>
      </w:rPr>
      <w:t>Dana Avant Lewis</w:t>
    </w:r>
  </w:p>
  <w:p w14:paraId="6FCEE6AD" w14:textId="00434D9A" w:rsidR="00DC2D99" w:rsidRPr="00B15614" w:rsidRDefault="00B15614" w:rsidP="00B15614">
    <w:pPr>
      <w:widowControl w:val="0"/>
      <w:tabs>
        <w:tab w:val="right" w:pos="10080"/>
      </w:tabs>
      <w:spacing w:after="40"/>
      <w:ind w:left="-720" w:right="-720"/>
      <w:rPr>
        <w:b/>
        <w:i/>
        <w:smallCaps/>
        <w:sz w:val="20"/>
      </w:rPr>
    </w:pPr>
    <w:r w:rsidRPr="00B15614">
      <w:rPr>
        <w:b/>
        <w:smallCaps/>
        <w:sz w:val="20"/>
      </w:rPr>
      <w:t xml:space="preserve">Ryan </w:t>
    </w:r>
    <w:proofErr w:type="spellStart"/>
    <w:r w:rsidRPr="00B15614">
      <w:rPr>
        <w:b/>
        <w:smallCaps/>
        <w:sz w:val="20"/>
      </w:rPr>
      <w:t>Sitton</w:t>
    </w:r>
    <w:proofErr w:type="spellEnd"/>
    <w:r w:rsidR="00A74698" w:rsidRPr="00B15614">
      <w:rPr>
        <w:b/>
        <w:smallCaps/>
        <w:sz w:val="20"/>
      </w:rPr>
      <w:t xml:space="preserve">, </w:t>
    </w:r>
    <w:r w:rsidR="00A74698" w:rsidRPr="00B15614">
      <w:rPr>
        <w:b/>
        <w:i/>
        <w:smallCaps/>
        <w:sz w:val="20"/>
      </w:rPr>
      <w:t>Commissioner</w:t>
    </w:r>
    <w:r w:rsidR="002F0B99">
      <w:rPr>
        <w:b/>
        <w:i/>
        <w:smallCaps/>
        <w:sz w:val="20"/>
      </w:rPr>
      <w:tab/>
    </w:r>
    <w:r w:rsidR="002F0B99" w:rsidRPr="001A3CE1">
      <w:rPr>
        <w:b/>
        <w:i/>
        <w:smallCaps/>
        <w:sz w:val="20"/>
      </w:rPr>
      <w:t>Director</w:t>
    </w:r>
  </w:p>
  <w:p w14:paraId="6F746372" w14:textId="77777777" w:rsidR="00DC2D99" w:rsidRPr="00B15614" w:rsidRDefault="00B15614" w:rsidP="00B15614">
    <w:pPr>
      <w:widowControl w:val="0"/>
      <w:tabs>
        <w:tab w:val="right" w:pos="10080"/>
      </w:tabs>
      <w:spacing w:after="40"/>
      <w:ind w:left="-720" w:right="-720"/>
      <w:rPr>
        <w:b/>
        <w:i/>
        <w:iCs/>
        <w:smallCaps/>
        <w:sz w:val="20"/>
      </w:rPr>
    </w:pPr>
    <w:r w:rsidRPr="00B15614">
      <w:rPr>
        <w:b/>
        <w:smallCaps/>
        <w:sz w:val="20"/>
      </w:rPr>
      <w:t>Wayne Christian</w:t>
    </w:r>
    <w:r w:rsidR="00CC0D31" w:rsidRPr="00B15614">
      <w:rPr>
        <w:b/>
        <w:smallCaps/>
        <w:sz w:val="20"/>
      </w:rPr>
      <w:t xml:space="preserve">, </w:t>
    </w:r>
    <w:r w:rsidR="00CC0D31" w:rsidRPr="00B15614">
      <w:rPr>
        <w:b/>
        <w:i/>
        <w:smallCaps/>
        <w:sz w:val="20"/>
      </w:rPr>
      <w:t>Commissioner</w:t>
    </w:r>
  </w:p>
  <w:p w14:paraId="5F17FC21" w14:textId="77777777" w:rsidR="00DC2D99" w:rsidRDefault="00DC2D99" w:rsidP="00541E82">
    <w:pPr>
      <w:widowControl w:val="0"/>
      <w:tabs>
        <w:tab w:val="right" w:pos="10080"/>
      </w:tabs>
      <w:ind w:left="-720" w:right="-720"/>
      <w:jc w:val="center"/>
      <w:rPr>
        <w:rFonts w:ascii="Garamond" w:hAnsi="Garamond"/>
        <w:b/>
        <w:smallCaps/>
        <w:sz w:val="18"/>
      </w:rPr>
    </w:pPr>
  </w:p>
  <w:p w14:paraId="36307799" w14:textId="77777777" w:rsidR="00B15614" w:rsidRDefault="00B15614" w:rsidP="00541E82">
    <w:pPr>
      <w:widowControl w:val="0"/>
      <w:tabs>
        <w:tab w:val="right" w:pos="10080"/>
      </w:tabs>
      <w:ind w:left="-720" w:right="-720"/>
      <w:jc w:val="center"/>
      <w:rPr>
        <w:rFonts w:ascii="Garamond" w:hAnsi="Garamond"/>
        <w:b/>
        <w:smallCaps/>
        <w:sz w:val="18"/>
      </w:rPr>
    </w:pPr>
  </w:p>
  <w:p w14:paraId="7C68FADA" w14:textId="77777777" w:rsidR="00541E82" w:rsidRPr="00B15614" w:rsidRDefault="00541E82" w:rsidP="00B15614">
    <w:pPr>
      <w:jc w:val="center"/>
      <w:rPr>
        <w:rFonts w:ascii="Constantia" w:hAnsi="Constantia"/>
        <w:smallCaps/>
        <w:sz w:val="52"/>
        <w:szCs w:val="36"/>
      </w:rPr>
    </w:pPr>
    <w:r w:rsidRPr="00B15614">
      <w:rPr>
        <w:rFonts w:ascii="Constantia" w:hAnsi="Constantia"/>
        <w:smallCaps/>
        <w:sz w:val="52"/>
        <w:szCs w:val="48"/>
      </w:rPr>
      <w:t>Railroad Commission of Texas</w:t>
    </w:r>
  </w:p>
  <w:p w14:paraId="626C67F7" w14:textId="77777777" w:rsidR="00DC2D99" w:rsidRPr="00541E05" w:rsidRDefault="0028375F" w:rsidP="002D1D2C">
    <w:pPr>
      <w:widowControl w:val="0"/>
      <w:tabs>
        <w:tab w:val="center" w:pos="4680"/>
      </w:tabs>
      <w:spacing w:after="40" w:line="180" w:lineRule="auto"/>
      <w:ind w:left="-720" w:right="-720"/>
      <w:jc w:val="center"/>
      <w:rPr>
        <w:rFonts w:ascii="Constantia" w:hAnsi="Constantia"/>
        <w:sz w:val="36"/>
        <w:szCs w:val="36"/>
      </w:rPr>
    </w:pPr>
    <w:r w:rsidRPr="00541E05">
      <w:rPr>
        <w:rFonts w:ascii="Constantia" w:hAnsi="Constantia"/>
        <w:smallCaps/>
        <w:sz w:val="36"/>
        <w:szCs w:val="36"/>
      </w:rPr>
      <w:fldChar w:fldCharType="begin"/>
    </w:r>
    <w:r w:rsidR="00A74698" w:rsidRPr="00541E05">
      <w:rPr>
        <w:rFonts w:ascii="Constantia" w:hAnsi="Constantia"/>
        <w:smallCaps/>
        <w:sz w:val="36"/>
        <w:szCs w:val="36"/>
      </w:rPr>
      <w:instrText>ADVANCE \y102</w:instrText>
    </w:r>
    <w:r w:rsidRPr="00541E05">
      <w:rPr>
        <w:rFonts w:ascii="Constantia" w:hAnsi="Constantia"/>
        <w:smallCaps/>
        <w:sz w:val="36"/>
        <w:szCs w:val="36"/>
      </w:rPr>
      <w:fldChar w:fldCharType="end"/>
    </w:r>
    <w:r w:rsidR="004B5A60">
      <w:rPr>
        <w:rFonts w:ascii="Constantia" w:hAnsi="Constantia"/>
        <w:smallCaps/>
        <w:sz w:val="40"/>
        <w:szCs w:val="40"/>
      </w:rPr>
      <w:t>Hearings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1C73"/>
    <w:multiLevelType w:val="hybridMultilevel"/>
    <w:tmpl w:val="343EB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974A8"/>
    <w:multiLevelType w:val="hybridMultilevel"/>
    <w:tmpl w:val="354C2C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915D3F"/>
    <w:multiLevelType w:val="hybridMultilevel"/>
    <w:tmpl w:val="33525F92"/>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04B2C"/>
    <w:multiLevelType w:val="hybridMultilevel"/>
    <w:tmpl w:val="423C8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B2"/>
    <w:rsid w:val="00021EC9"/>
    <w:rsid w:val="00026C8C"/>
    <w:rsid w:val="00037271"/>
    <w:rsid w:val="000411D3"/>
    <w:rsid w:val="00043481"/>
    <w:rsid w:val="0009253A"/>
    <w:rsid w:val="000B2AF1"/>
    <w:rsid w:val="000C3E6F"/>
    <w:rsid w:val="000C5B2E"/>
    <w:rsid w:val="000D211B"/>
    <w:rsid w:val="000E5B9E"/>
    <w:rsid w:val="00104955"/>
    <w:rsid w:val="00120E6B"/>
    <w:rsid w:val="00132C55"/>
    <w:rsid w:val="00135505"/>
    <w:rsid w:val="001454F5"/>
    <w:rsid w:val="001671D0"/>
    <w:rsid w:val="00177BBE"/>
    <w:rsid w:val="001A2527"/>
    <w:rsid w:val="001D577B"/>
    <w:rsid w:val="001F0D41"/>
    <w:rsid w:val="001F5AD1"/>
    <w:rsid w:val="00226A43"/>
    <w:rsid w:val="002667D1"/>
    <w:rsid w:val="00280486"/>
    <w:rsid w:val="0028111E"/>
    <w:rsid w:val="0028375F"/>
    <w:rsid w:val="00286F26"/>
    <w:rsid w:val="002927C8"/>
    <w:rsid w:val="002C353B"/>
    <w:rsid w:val="002C6247"/>
    <w:rsid w:val="002D1D2C"/>
    <w:rsid w:val="002E4E91"/>
    <w:rsid w:val="002F0B99"/>
    <w:rsid w:val="00305908"/>
    <w:rsid w:val="0036041C"/>
    <w:rsid w:val="00367A3D"/>
    <w:rsid w:val="00391932"/>
    <w:rsid w:val="003964B4"/>
    <w:rsid w:val="003E7A0C"/>
    <w:rsid w:val="004006EE"/>
    <w:rsid w:val="00407C70"/>
    <w:rsid w:val="00437F1B"/>
    <w:rsid w:val="00447291"/>
    <w:rsid w:val="00457AB0"/>
    <w:rsid w:val="004B1DA5"/>
    <w:rsid w:val="004B5A60"/>
    <w:rsid w:val="004C68BB"/>
    <w:rsid w:val="004D1620"/>
    <w:rsid w:val="004D4BF4"/>
    <w:rsid w:val="004E65DC"/>
    <w:rsid w:val="004E6C48"/>
    <w:rsid w:val="00514D2B"/>
    <w:rsid w:val="00524234"/>
    <w:rsid w:val="00531767"/>
    <w:rsid w:val="00535A1F"/>
    <w:rsid w:val="00541E05"/>
    <w:rsid w:val="00541E82"/>
    <w:rsid w:val="00545E05"/>
    <w:rsid w:val="00553BC2"/>
    <w:rsid w:val="00560407"/>
    <w:rsid w:val="00575F2F"/>
    <w:rsid w:val="00576C74"/>
    <w:rsid w:val="00580518"/>
    <w:rsid w:val="005A0F41"/>
    <w:rsid w:val="005B17CA"/>
    <w:rsid w:val="005B4EB9"/>
    <w:rsid w:val="005C225E"/>
    <w:rsid w:val="005E6E59"/>
    <w:rsid w:val="0061015C"/>
    <w:rsid w:val="00623510"/>
    <w:rsid w:val="00671FB1"/>
    <w:rsid w:val="006732CC"/>
    <w:rsid w:val="006759D3"/>
    <w:rsid w:val="006A250F"/>
    <w:rsid w:val="006A507C"/>
    <w:rsid w:val="006D630C"/>
    <w:rsid w:val="00703D80"/>
    <w:rsid w:val="00745E01"/>
    <w:rsid w:val="007462A9"/>
    <w:rsid w:val="00756590"/>
    <w:rsid w:val="00765A76"/>
    <w:rsid w:val="00783E96"/>
    <w:rsid w:val="007850DC"/>
    <w:rsid w:val="00797B84"/>
    <w:rsid w:val="007B4C1F"/>
    <w:rsid w:val="007D0F9F"/>
    <w:rsid w:val="007E4A30"/>
    <w:rsid w:val="007F245E"/>
    <w:rsid w:val="00800EB7"/>
    <w:rsid w:val="00803607"/>
    <w:rsid w:val="00830223"/>
    <w:rsid w:val="008333DC"/>
    <w:rsid w:val="00834DB0"/>
    <w:rsid w:val="00867A5D"/>
    <w:rsid w:val="0087271C"/>
    <w:rsid w:val="00897945"/>
    <w:rsid w:val="008A26E6"/>
    <w:rsid w:val="008A436F"/>
    <w:rsid w:val="008A7CB2"/>
    <w:rsid w:val="008C5EDD"/>
    <w:rsid w:val="008D4DDA"/>
    <w:rsid w:val="008E71D0"/>
    <w:rsid w:val="008F4011"/>
    <w:rsid w:val="00900E9E"/>
    <w:rsid w:val="00936EB9"/>
    <w:rsid w:val="00944031"/>
    <w:rsid w:val="00953F93"/>
    <w:rsid w:val="00955BB8"/>
    <w:rsid w:val="009874DB"/>
    <w:rsid w:val="009A69CB"/>
    <w:rsid w:val="009B5806"/>
    <w:rsid w:val="009F2EE4"/>
    <w:rsid w:val="00A02C36"/>
    <w:rsid w:val="00A073CB"/>
    <w:rsid w:val="00A1378D"/>
    <w:rsid w:val="00A1443A"/>
    <w:rsid w:val="00A64173"/>
    <w:rsid w:val="00A71AAA"/>
    <w:rsid w:val="00A72EA9"/>
    <w:rsid w:val="00A74698"/>
    <w:rsid w:val="00A83211"/>
    <w:rsid w:val="00AA517B"/>
    <w:rsid w:val="00AD7616"/>
    <w:rsid w:val="00AF1A8B"/>
    <w:rsid w:val="00B0500A"/>
    <w:rsid w:val="00B15614"/>
    <w:rsid w:val="00B20D21"/>
    <w:rsid w:val="00B322F1"/>
    <w:rsid w:val="00B36D4F"/>
    <w:rsid w:val="00B5105F"/>
    <w:rsid w:val="00B86D15"/>
    <w:rsid w:val="00BA6369"/>
    <w:rsid w:val="00BA7719"/>
    <w:rsid w:val="00BA79FF"/>
    <w:rsid w:val="00BB047A"/>
    <w:rsid w:val="00BC1719"/>
    <w:rsid w:val="00BD1346"/>
    <w:rsid w:val="00BE12F3"/>
    <w:rsid w:val="00BE1F0C"/>
    <w:rsid w:val="00BF0ADE"/>
    <w:rsid w:val="00C37388"/>
    <w:rsid w:val="00C374BB"/>
    <w:rsid w:val="00C509DC"/>
    <w:rsid w:val="00C537D4"/>
    <w:rsid w:val="00C54712"/>
    <w:rsid w:val="00C568EC"/>
    <w:rsid w:val="00C9586A"/>
    <w:rsid w:val="00C96E6E"/>
    <w:rsid w:val="00CA0311"/>
    <w:rsid w:val="00CA7C11"/>
    <w:rsid w:val="00CB5F81"/>
    <w:rsid w:val="00CC0D31"/>
    <w:rsid w:val="00CD0E38"/>
    <w:rsid w:val="00CD21EA"/>
    <w:rsid w:val="00D004B2"/>
    <w:rsid w:val="00D23048"/>
    <w:rsid w:val="00D404FF"/>
    <w:rsid w:val="00D576B0"/>
    <w:rsid w:val="00D8532B"/>
    <w:rsid w:val="00D87ABF"/>
    <w:rsid w:val="00D9183D"/>
    <w:rsid w:val="00D94128"/>
    <w:rsid w:val="00D94163"/>
    <w:rsid w:val="00DC2D99"/>
    <w:rsid w:val="00DF27AF"/>
    <w:rsid w:val="00E01E98"/>
    <w:rsid w:val="00E03B37"/>
    <w:rsid w:val="00E049CE"/>
    <w:rsid w:val="00E27ABC"/>
    <w:rsid w:val="00E42461"/>
    <w:rsid w:val="00E43C75"/>
    <w:rsid w:val="00E62332"/>
    <w:rsid w:val="00E65DC6"/>
    <w:rsid w:val="00E83122"/>
    <w:rsid w:val="00E84882"/>
    <w:rsid w:val="00EA5A9B"/>
    <w:rsid w:val="00EB29FD"/>
    <w:rsid w:val="00EB3845"/>
    <w:rsid w:val="00EC1BF0"/>
    <w:rsid w:val="00EC326E"/>
    <w:rsid w:val="00ED7D3F"/>
    <w:rsid w:val="00EF4E32"/>
    <w:rsid w:val="00EF51F6"/>
    <w:rsid w:val="00F12D2E"/>
    <w:rsid w:val="00F40AF4"/>
    <w:rsid w:val="00F50D14"/>
    <w:rsid w:val="00F62A74"/>
    <w:rsid w:val="00F75D6B"/>
    <w:rsid w:val="00F77630"/>
    <w:rsid w:val="00F802BD"/>
    <w:rsid w:val="00FA1AE3"/>
    <w:rsid w:val="00FD4DBF"/>
    <w:rsid w:val="00FD77E5"/>
    <w:rsid w:val="00FE1BE8"/>
    <w:rsid w:val="00FF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3C954F"/>
  <w15:docId w15:val="{225AA166-9CF0-4444-A8EC-DE17EFE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75F"/>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75F"/>
    <w:pPr>
      <w:tabs>
        <w:tab w:val="center" w:pos="4320"/>
        <w:tab w:val="right" w:pos="8640"/>
      </w:tabs>
    </w:pPr>
  </w:style>
  <w:style w:type="paragraph" w:styleId="Footer">
    <w:name w:val="footer"/>
    <w:basedOn w:val="Normal"/>
    <w:semiHidden/>
    <w:rsid w:val="0028375F"/>
    <w:pPr>
      <w:tabs>
        <w:tab w:val="center" w:pos="4320"/>
        <w:tab w:val="right" w:pos="8640"/>
      </w:tabs>
    </w:pPr>
  </w:style>
  <w:style w:type="character" w:styleId="Hyperlink">
    <w:name w:val="Hyperlink"/>
    <w:semiHidden/>
    <w:rsid w:val="0028375F"/>
    <w:rPr>
      <w:color w:val="0000FF"/>
      <w:u w:val="single"/>
    </w:rPr>
  </w:style>
  <w:style w:type="paragraph" w:styleId="BalloonText">
    <w:name w:val="Balloon Text"/>
    <w:basedOn w:val="Normal"/>
    <w:link w:val="BalloonTextChar"/>
    <w:uiPriority w:val="99"/>
    <w:semiHidden/>
    <w:unhideWhenUsed/>
    <w:rsid w:val="00BA6369"/>
    <w:rPr>
      <w:rFonts w:ascii="Tahoma" w:hAnsi="Tahoma" w:cs="Tahoma"/>
      <w:sz w:val="16"/>
      <w:szCs w:val="16"/>
    </w:rPr>
  </w:style>
  <w:style w:type="character" w:customStyle="1" w:styleId="BalloonTextChar">
    <w:name w:val="Balloon Text Char"/>
    <w:basedOn w:val="DefaultParagraphFont"/>
    <w:link w:val="BalloonText"/>
    <w:uiPriority w:val="99"/>
    <w:semiHidden/>
    <w:rsid w:val="00BA6369"/>
    <w:rPr>
      <w:rFonts w:ascii="Tahoma" w:hAnsi="Tahoma" w:cs="Tahoma"/>
      <w:sz w:val="16"/>
      <w:szCs w:val="16"/>
    </w:rPr>
  </w:style>
  <w:style w:type="character" w:customStyle="1" w:styleId="HeaderChar">
    <w:name w:val="Header Char"/>
    <w:basedOn w:val="DefaultParagraphFont"/>
    <w:link w:val="Header"/>
    <w:uiPriority w:val="99"/>
    <w:rsid w:val="008A7CB2"/>
    <w:rPr>
      <w:sz w:val="24"/>
    </w:rPr>
  </w:style>
  <w:style w:type="paragraph" w:styleId="ListParagraph">
    <w:name w:val="List Paragraph"/>
    <w:basedOn w:val="Normal"/>
    <w:uiPriority w:val="34"/>
    <w:qFormat/>
    <w:rsid w:val="00026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05337-EBFF-4604-9107-32C88CDB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706</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Railroad Commission of Texas</Company>
  <LinksUpToDate>false</LinksUpToDate>
  <CharactersWithSpaces>4400</CharactersWithSpaces>
  <SharedDoc>false</SharedDoc>
  <HLinks>
    <vt:vector size="6" baseType="variant">
      <vt:variant>
        <vt:i4>6553647</vt:i4>
      </vt:variant>
      <vt:variant>
        <vt:i4>6</vt:i4>
      </vt:variant>
      <vt:variant>
        <vt:i4>0</vt:i4>
      </vt:variant>
      <vt:variant>
        <vt:i4>5</vt:i4>
      </vt:variant>
      <vt:variant>
        <vt:lpwstr>http://www.rrc.state.tx.us/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Caldwell</dc:creator>
  <cp:lastModifiedBy>Petar Buva</cp:lastModifiedBy>
  <cp:revision>10</cp:revision>
  <cp:lastPrinted>2018-08-14T12:55:00Z</cp:lastPrinted>
  <dcterms:created xsi:type="dcterms:W3CDTF">2018-12-04T15:57:00Z</dcterms:created>
  <dcterms:modified xsi:type="dcterms:W3CDTF">2018-12-06T19:36:00Z</dcterms:modified>
</cp:coreProperties>
</file>